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2D" w:rsidRPr="006102BD" w:rsidRDefault="00630D2D" w:rsidP="00630D2D">
      <w:pPr>
        <w:pStyle w:val="Titre1"/>
        <w:rPr>
          <w:rStyle w:val="Accentuationlgre"/>
          <w:b/>
          <w:i w:val="0"/>
          <w:sz w:val="36"/>
          <w:szCs w:val="36"/>
        </w:rPr>
      </w:pPr>
      <w:bookmarkStart w:id="0" w:name="_Toc20125360"/>
      <w:bookmarkStart w:id="1" w:name="_Toc21248970"/>
      <w:r w:rsidRPr="006102BD">
        <w:rPr>
          <w:sz w:val="36"/>
          <w:szCs w:val="36"/>
        </w:rPr>
        <w:t>Couverture du risque Mati</w:t>
      </w:r>
      <w:r>
        <w:rPr>
          <w:sz w:val="36"/>
          <w:szCs w:val="36"/>
        </w:rPr>
        <w:t>È</w:t>
      </w:r>
      <w:r w:rsidRPr="006102BD">
        <w:rPr>
          <w:sz w:val="36"/>
          <w:szCs w:val="36"/>
        </w:rPr>
        <w:t>res premi</w:t>
      </w:r>
      <w:r w:rsidRPr="001871E5">
        <w:rPr>
          <w:sz w:val="36"/>
          <w:szCs w:val="36"/>
        </w:rPr>
        <w:t>È</w:t>
      </w:r>
      <w:r w:rsidRPr="006102BD">
        <w:rPr>
          <w:sz w:val="36"/>
          <w:szCs w:val="36"/>
        </w:rPr>
        <w:t>res : illustration dans le domaine agroalimentaire : du beurre, du blÉ et des croissants !</w:t>
      </w:r>
      <w:bookmarkEnd w:id="0"/>
      <w:bookmarkEnd w:id="1"/>
    </w:p>
    <w:p w:rsidR="00630D2D" w:rsidRPr="006102BD" w:rsidRDefault="00630D2D" w:rsidP="00630D2D">
      <w:pPr>
        <w:rPr>
          <w:rStyle w:val="Accentuationlgre"/>
          <w:rFonts w:asciiTheme="majorHAnsi" w:hAnsiTheme="majorHAnsi"/>
          <w:i w:val="0"/>
          <w:sz w:val="20"/>
          <w:szCs w:val="20"/>
        </w:rPr>
      </w:pPr>
      <w:r w:rsidRPr="006102BD">
        <w:rPr>
          <w:rStyle w:val="Accentuationlgre"/>
          <w:rFonts w:asciiTheme="majorHAnsi" w:hAnsiTheme="majorHAnsi"/>
          <w:b w:val="0"/>
          <w:bCs/>
          <w:i w:val="0"/>
          <w:sz w:val="20"/>
          <w:szCs w:val="20"/>
        </w:rPr>
        <w:t>Compte-rendu réalisé par</w:t>
      </w:r>
      <w:r w:rsidRPr="006102BD">
        <w:rPr>
          <w:rStyle w:val="Accentuationlgre"/>
          <w:rFonts w:asciiTheme="majorHAnsi" w:hAnsiTheme="majorHAnsi"/>
          <w:i w:val="0"/>
          <w:sz w:val="20"/>
          <w:szCs w:val="20"/>
        </w:rPr>
        <w:t xml:space="preserve"> </w:t>
      </w:r>
      <w:r w:rsidRPr="006102BD">
        <w:rPr>
          <w:rFonts w:asciiTheme="majorHAnsi" w:hAnsiTheme="majorHAnsi"/>
          <w:b/>
          <w:bCs/>
          <w:sz w:val="20"/>
          <w:szCs w:val="20"/>
        </w:rPr>
        <w:t>Isabelle Delzant</w:t>
      </w:r>
      <w:r w:rsidRPr="006102BD">
        <w:rPr>
          <w:rFonts w:asciiTheme="majorHAnsi" w:hAnsiTheme="majorHAnsi"/>
          <w:sz w:val="20"/>
          <w:szCs w:val="20"/>
        </w:rPr>
        <w:t>, Professeure dans l’académie de Paris</w:t>
      </w:r>
    </w:p>
    <w:p w:rsidR="00630D2D" w:rsidRPr="006102BD" w:rsidRDefault="00630D2D" w:rsidP="00630D2D">
      <w:pPr>
        <w:rPr>
          <w:rStyle w:val="Accentuationlgre"/>
          <w:rFonts w:asciiTheme="majorHAnsi" w:hAnsiTheme="majorHAnsi"/>
          <w:i w:val="0"/>
          <w:sz w:val="20"/>
          <w:szCs w:val="20"/>
        </w:rPr>
      </w:pPr>
    </w:p>
    <w:p w:rsidR="00630D2D" w:rsidRPr="00645198" w:rsidRDefault="00630D2D" w:rsidP="00630D2D">
      <w:pPr>
        <w:rPr>
          <w:rStyle w:val="Accentuationlgre"/>
          <w:rFonts w:asciiTheme="majorHAnsi" w:hAnsiTheme="majorHAnsi"/>
          <w:b w:val="0"/>
          <w:bCs/>
          <w:i w:val="0"/>
          <w:sz w:val="20"/>
          <w:szCs w:val="20"/>
        </w:rPr>
      </w:pPr>
      <w:r w:rsidRPr="00645198">
        <w:rPr>
          <w:rStyle w:val="Accentuationlgre"/>
          <w:rFonts w:asciiTheme="majorHAnsi" w:hAnsiTheme="majorHAnsi"/>
          <w:b w:val="0"/>
          <w:bCs/>
          <w:i w:val="0"/>
          <w:sz w:val="20"/>
          <w:szCs w:val="20"/>
        </w:rPr>
        <w:t xml:space="preserve">Intervenants : </w:t>
      </w:r>
    </w:p>
    <w:p w:rsidR="00630D2D" w:rsidRPr="00645198" w:rsidRDefault="00630D2D" w:rsidP="00630D2D">
      <w:pPr>
        <w:pStyle w:val="Puceniveau1"/>
        <w:rPr>
          <w:rFonts w:asciiTheme="majorHAnsi" w:hAnsiTheme="majorHAnsi"/>
          <w:b/>
          <w:bCs/>
          <w:sz w:val="20"/>
          <w:szCs w:val="20"/>
        </w:rPr>
      </w:pPr>
      <w:r w:rsidRPr="00645198">
        <w:rPr>
          <w:rFonts w:asciiTheme="majorHAnsi" w:hAnsiTheme="majorHAnsi"/>
          <w:b/>
          <w:bCs/>
          <w:sz w:val="20"/>
          <w:szCs w:val="20"/>
        </w:rPr>
        <w:t xml:space="preserve">Jérôme Chane, </w:t>
      </w:r>
      <w:r w:rsidRPr="00645198">
        <w:rPr>
          <w:rFonts w:asciiTheme="majorHAnsi" w:hAnsiTheme="majorHAnsi"/>
          <w:sz w:val="20"/>
          <w:szCs w:val="20"/>
        </w:rPr>
        <w:t>Directeur des risques Groupe, Vivescia</w:t>
      </w:r>
    </w:p>
    <w:p w:rsidR="00630D2D" w:rsidRPr="006102BD" w:rsidRDefault="00630D2D" w:rsidP="00630D2D">
      <w:pPr>
        <w:pStyle w:val="Puceniveau1"/>
        <w:rPr>
          <w:rFonts w:asciiTheme="majorHAnsi" w:hAnsiTheme="majorHAnsi"/>
          <w:sz w:val="20"/>
          <w:szCs w:val="20"/>
        </w:rPr>
      </w:pPr>
      <w:r w:rsidRPr="006102BD">
        <w:rPr>
          <w:rFonts w:asciiTheme="majorHAnsi" w:hAnsiTheme="majorHAnsi"/>
          <w:b/>
          <w:bCs/>
          <w:sz w:val="20"/>
          <w:szCs w:val="20"/>
        </w:rPr>
        <w:t>Didier Marteau</w:t>
      </w:r>
      <w:r w:rsidRPr="006102BD">
        <w:rPr>
          <w:rFonts w:asciiTheme="majorHAnsi" w:hAnsiTheme="majorHAnsi"/>
          <w:sz w:val="20"/>
          <w:szCs w:val="20"/>
        </w:rPr>
        <w:t>, Professeur à l’ESCP Europe</w:t>
      </w:r>
    </w:p>
    <w:p w:rsidR="00630D2D" w:rsidRPr="006102BD" w:rsidRDefault="00630D2D" w:rsidP="00630D2D">
      <w:pPr>
        <w:pStyle w:val="Puceniveau1"/>
        <w:numPr>
          <w:ilvl w:val="0"/>
          <w:numId w:val="0"/>
        </w:numPr>
        <w:ind w:left="709"/>
        <w:rPr>
          <w:rStyle w:val="Accentuationlgre"/>
          <w:rFonts w:asciiTheme="majorHAnsi" w:hAnsiTheme="majorHAnsi"/>
          <w:b w:val="0"/>
          <w:i w:val="0"/>
          <w:sz w:val="20"/>
          <w:szCs w:val="20"/>
        </w:rPr>
      </w:pPr>
    </w:p>
    <w:p w:rsidR="00630D2D" w:rsidRPr="006102BD" w:rsidRDefault="00630D2D" w:rsidP="00630D2D">
      <w:pPr>
        <w:pBdr>
          <w:top w:val="single" w:sz="4" w:space="1" w:color="auto"/>
          <w:left w:val="single" w:sz="4" w:space="4" w:color="auto"/>
          <w:bottom w:val="single" w:sz="4" w:space="1" w:color="auto"/>
          <w:right w:val="single" w:sz="4" w:space="4" w:color="auto"/>
        </w:pBdr>
        <w:rPr>
          <w:rStyle w:val="Accentuationlgre"/>
          <w:rFonts w:asciiTheme="majorHAnsi" w:hAnsiTheme="majorHAnsi"/>
          <w:i w:val="0"/>
          <w:sz w:val="20"/>
          <w:szCs w:val="20"/>
        </w:rPr>
      </w:pPr>
      <w:r w:rsidRPr="006102BD">
        <w:rPr>
          <w:rStyle w:val="Accentuationlgre"/>
          <w:rFonts w:asciiTheme="majorHAnsi" w:hAnsiTheme="majorHAnsi"/>
          <w:i w:val="0"/>
          <w:sz w:val="20"/>
          <w:szCs w:val="20"/>
        </w:rPr>
        <w:t>Face à des cours des matières premières agricoles (beurre, cacao, blé, café, sucre, vanille …) très volatiles, les acteurs sur les marchés des « commodities » cherchent à se couvrir pour éviter ce risque de variation des cours.</w:t>
      </w:r>
    </w:p>
    <w:p w:rsidR="00630D2D" w:rsidRPr="006102BD" w:rsidRDefault="00630D2D" w:rsidP="00630D2D">
      <w:pPr>
        <w:rPr>
          <w:rFonts w:asciiTheme="majorHAnsi" w:hAnsiTheme="majorHAnsi"/>
          <w:b/>
        </w:rPr>
      </w:pPr>
    </w:p>
    <w:p w:rsidR="00630D2D" w:rsidRPr="006102BD" w:rsidRDefault="00630D2D" w:rsidP="00630D2D">
      <w:pPr>
        <w:pStyle w:val="Titre2"/>
        <w:rPr>
          <w:sz w:val="28"/>
          <w:szCs w:val="28"/>
        </w:rPr>
      </w:pPr>
      <w:r w:rsidRPr="006102BD">
        <w:rPr>
          <w:sz w:val="28"/>
          <w:szCs w:val="28"/>
        </w:rPr>
        <w:t xml:space="preserve">L’enjeu de la gestion du risque de volatilité du cours des matières premières agricoles </w:t>
      </w:r>
    </w:p>
    <w:p w:rsidR="00630D2D" w:rsidRDefault="00630D2D" w:rsidP="00630D2D">
      <w:pPr>
        <w:rPr>
          <w:rFonts w:asciiTheme="majorHAnsi" w:hAnsiTheme="majorHAnsi"/>
          <w:sz w:val="20"/>
          <w:szCs w:val="20"/>
        </w:rPr>
      </w:pPr>
      <w:r w:rsidRPr="006102BD">
        <w:rPr>
          <w:rFonts w:asciiTheme="majorHAnsi" w:hAnsiTheme="majorHAnsi"/>
          <w:sz w:val="20"/>
          <w:szCs w:val="20"/>
        </w:rPr>
        <w:t>Exemple du beurre en 2017 : le cours est passé de 4</w:t>
      </w:r>
      <w:r>
        <w:rPr>
          <w:rFonts w:asciiTheme="majorHAnsi" w:hAnsiTheme="majorHAnsi"/>
          <w:sz w:val="20"/>
          <w:szCs w:val="20"/>
        </w:rPr>
        <w:t xml:space="preserve"> </w:t>
      </w:r>
      <w:r w:rsidRPr="006102BD">
        <w:rPr>
          <w:rFonts w:asciiTheme="majorHAnsi" w:hAnsiTheme="majorHAnsi"/>
          <w:sz w:val="20"/>
          <w:szCs w:val="20"/>
        </w:rPr>
        <w:t>000 à 7</w:t>
      </w:r>
      <w:r>
        <w:rPr>
          <w:rFonts w:asciiTheme="majorHAnsi" w:hAnsiTheme="majorHAnsi"/>
          <w:sz w:val="20"/>
          <w:szCs w:val="20"/>
        </w:rPr>
        <w:t xml:space="preserve"> </w:t>
      </w:r>
      <w:r w:rsidRPr="006102BD">
        <w:rPr>
          <w:rFonts w:asciiTheme="majorHAnsi" w:hAnsiTheme="majorHAnsi"/>
          <w:sz w:val="20"/>
          <w:szCs w:val="20"/>
        </w:rPr>
        <w:t xml:space="preserve">000 €/tonne en moins de six mois. C’est donc un risque majeur contre lequel les acteurs cherchent à se prémunir.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On décompose ce risque en deux risques principaux pour un acheteur :</w:t>
      </w:r>
    </w:p>
    <w:p w:rsidR="00630D2D" w:rsidRPr="006102BD" w:rsidRDefault="00630D2D" w:rsidP="00630D2D">
      <w:pPr>
        <w:pStyle w:val="Puceniveau1"/>
        <w:rPr>
          <w:rFonts w:asciiTheme="majorHAnsi" w:hAnsiTheme="majorHAnsi"/>
          <w:sz w:val="20"/>
          <w:szCs w:val="20"/>
        </w:rPr>
      </w:pPr>
      <w:r w:rsidRPr="006102BD">
        <w:rPr>
          <w:rFonts w:asciiTheme="majorHAnsi" w:hAnsiTheme="majorHAnsi"/>
          <w:b/>
          <w:bCs/>
          <w:sz w:val="20"/>
          <w:szCs w:val="20"/>
          <w:u w:val="single"/>
        </w:rPr>
        <w:t>Le risque transactionnel</w:t>
      </w:r>
      <w:r w:rsidRPr="006102BD">
        <w:rPr>
          <w:rFonts w:asciiTheme="majorHAnsi" w:hAnsiTheme="majorHAnsi"/>
          <w:sz w:val="20"/>
          <w:szCs w:val="20"/>
        </w:rPr>
        <w:t xml:space="preserve"> : </w:t>
      </w:r>
      <w:r w:rsidRPr="006102BD">
        <w:rPr>
          <w:rFonts w:asciiTheme="majorHAnsi" w:hAnsiTheme="majorHAnsi"/>
          <w:sz w:val="20"/>
          <w:szCs w:val="20"/>
          <w:u w:val="single"/>
        </w:rPr>
        <w:t>c’est le risque associé à une hausse du cours</w:t>
      </w:r>
      <w:r w:rsidRPr="006102BD">
        <w:rPr>
          <w:rFonts w:asciiTheme="majorHAnsi" w:hAnsiTheme="majorHAnsi"/>
          <w:sz w:val="20"/>
          <w:szCs w:val="20"/>
        </w:rPr>
        <w:t> ; ce risque se situe en amont de la transaction, lors de la décision d’achat.</w:t>
      </w:r>
    </w:p>
    <w:p w:rsidR="00630D2D" w:rsidRDefault="00630D2D" w:rsidP="00630D2D">
      <w:pPr>
        <w:pStyle w:val="Puceniveau1"/>
        <w:numPr>
          <w:ilvl w:val="0"/>
          <w:numId w:val="0"/>
        </w:numPr>
        <w:ind w:left="709"/>
        <w:rPr>
          <w:rFonts w:asciiTheme="majorHAnsi" w:hAnsiTheme="majorHAnsi"/>
          <w:sz w:val="20"/>
          <w:szCs w:val="20"/>
        </w:rPr>
      </w:pPr>
      <w:r w:rsidRPr="006102BD">
        <w:rPr>
          <w:rFonts w:asciiTheme="majorHAnsi" w:hAnsiTheme="majorHAnsi"/>
          <w:sz w:val="20"/>
          <w:szCs w:val="20"/>
        </w:rPr>
        <w:t xml:space="preserve">Exemple : Le cours du beurre a été multiplié par deux entre mars 2017 et septembre 2017 (voir graphique projeté lors de la présentation). Le prix d’achat des viennoiseries par la grande distribution étant fixé un an à l’avance, les acteurs du secteur de l’agro-alimentaire ont dû faire face à un risque transactionnel. En effet, leur prix de vente aux distributeurs devenait insuffisant pour couvrir la hausse de leurs coûts de production. </w:t>
      </w:r>
      <w:r w:rsidRPr="00C115A1">
        <w:rPr>
          <w:rFonts w:asciiTheme="majorHAnsi" w:hAnsiTheme="majorHAnsi"/>
          <w:b/>
          <w:bCs/>
          <w:sz w:val="20"/>
          <w:szCs w:val="20"/>
        </w:rPr>
        <w:t>Jérôme Chane</w:t>
      </w:r>
      <w:r w:rsidRPr="006102BD">
        <w:rPr>
          <w:rFonts w:asciiTheme="majorHAnsi" w:hAnsiTheme="majorHAnsi"/>
          <w:sz w:val="20"/>
          <w:szCs w:val="20"/>
        </w:rPr>
        <w:t>, directeur des risques du Groupe coopératif agricole et agroalimentaire Vivescia, raconte que certains boulangers face à cette hausse du cours sont allés acheter leur beurre en grande surface !</w:t>
      </w:r>
    </w:p>
    <w:p w:rsidR="00630D2D" w:rsidRPr="006102BD" w:rsidRDefault="00630D2D" w:rsidP="00630D2D">
      <w:pPr>
        <w:pStyle w:val="Puceniveau1"/>
        <w:numPr>
          <w:ilvl w:val="0"/>
          <w:numId w:val="0"/>
        </w:numPr>
        <w:ind w:left="709" w:hanging="425"/>
        <w:rPr>
          <w:rFonts w:asciiTheme="majorHAnsi" w:hAnsiTheme="majorHAnsi"/>
          <w:sz w:val="20"/>
          <w:szCs w:val="20"/>
        </w:rPr>
      </w:pPr>
    </w:p>
    <w:p w:rsidR="00630D2D" w:rsidRPr="006102BD" w:rsidRDefault="00630D2D" w:rsidP="00630D2D">
      <w:pPr>
        <w:pStyle w:val="Puceniveau1"/>
        <w:rPr>
          <w:rFonts w:asciiTheme="majorHAnsi" w:hAnsiTheme="majorHAnsi"/>
          <w:sz w:val="20"/>
          <w:szCs w:val="20"/>
        </w:rPr>
      </w:pPr>
      <w:r w:rsidRPr="006102BD">
        <w:rPr>
          <w:rFonts w:asciiTheme="majorHAnsi" w:hAnsiTheme="majorHAnsi"/>
          <w:b/>
          <w:bCs/>
          <w:sz w:val="20"/>
          <w:szCs w:val="20"/>
          <w:u w:val="single"/>
        </w:rPr>
        <w:t>Le risque de compétitivité</w:t>
      </w:r>
      <w:r w:rsidRPr="006102BD">
        <w:rPr>
          <w:rFonts w:asciiTheme="majorHAnsi" w:hAnsiTheme="majorHAnsi"/>
          <w:sz w:val="20"/>
          <w:szCs w:val="20"/>
        </w:rPr>
        <w:t xml:space="preserve"> : </w:t>
      </w:r>
      <w:r w:rsidRPr="006102BD">
        <w:rPr>
          <w:rFonts w:asciiTheme="majorHAnsi" w:hAnsiTheme="majorHAnsi"/>
          <w:sz w:val="20"/>
          <w:szCs w:val="20"/>
          <w:u w:val="single"/>
        </w:rPr>
        <w:t>c’est le risque associé à une baisse du cours</w:t>
      </w:r>
      <w:r w:rsidRPr="006102BD">
        <w:rPr>
          <w:rFonts w:asciiTheme="majorHAnsi" w:hAnsiTheme="majorHAnsi"/>
          <w:sz w:val="20"/>
          <w:szCs w:val="20"/>
        </w:rPr>
        <w:t> ; ce risque se situe en aval de la transaction. Il s’agit d’observer comment se comporte le marché et ses acteurs, en examinant, par exemple, les résultats des appels d’offre et en analysant pourquoi certains contrats sont remportés ou perdus.</w:t>
      </w:r>
    </w:p>
    <w:p w:rsidR="00630D2D" w:rsidRDefault="00630D2D" w:rsidP="00630D2D">
      <w:pPr>
        <w:pStyle w:val="Puceniveau1"/>
        <w:numPr>
          <w:ilvl w:val="0"/>
          <w:numId w:val="0"/>
        </w:numPr>
        <w:ind w:left="142" w:hanging="567"/>
        <w:rPr>
          <w:rFonts w:asciiTheme="majorHAnsi" w:hAnsiTheme="majorHAnsi"/>
          <w:sz w:val="20"/>
          <w:szCs w:val="20"/>
        </w:rPr>
      </w:pPr>
    </w:p>
    <w:p w:rsidR="00630D2D" w:rsidRPr="006102BD" w:rsidRDefault="00630D2D" w:rsidP="00630D2D">
      <w:pPr>
        <w:pStyle w:val="Puceniveau1"/>
        <w:numPr>
          <w:ilvl w:val="0"/>
          <w:numId w:val="0"/>
        </w:numPr>
        <w:ind w:left="142"/>
        <w:rPr>
          <w:rFonts w:asciiTheme="majorHAnsi" w:hAnsiTheme="majorHAnsi"/>
          <w:sz w:val="20"/>
          <w:szCs w:val="20"/>
        </w:rPr>
      </w:pPr>
      <w:r w:rsidRPr="006102BD">
        <w:rPr>
          <w:rFonts w:asciiTheme="majorHAnsi" w:hAnsiTheme="majorHAnsi"/>
          <w:sz w:val="20"/>
          <w:szCs w:val="20"/>
        </w:rPr>
        <w:t xml:space="preserve">Le risque de compétitivité dépend, en particulier, de la couverture mise en place par l’entreprise et par ses concurrents. L’exemple d’Air France en 2008, cité par </w:t>
      </w:r>
      <w:r w:rsidRPr="00C115A1">
        <w:rPr>
          <w:rFonts w:asciiTheme="majorHAnsi" w:hAnsiTheme="majorHAnsi"/>
          <w:b/>
          <w:bCs/>
          <w:sz w:val="20"/>
          <w:szCs w:val="20"/>
        </w:rPr>
        <w:t>Didier Marteau</w:t>
      </w:r>
      <w:r w:rsidRPr="006102BD">
        <w:rPr>
          <w:rFonts w:asciiTheme="majorHAnsi" w:hAnsiTheme="majorHAnsi"/>
          <w:sz w:val="20"/>
          <w:szCs w:val="20"/>
        </w:rPr>
        <w:t xml:space="preserve">, illustre ce risque de compétitivité. L’entreprise face à la hausse du prix du </w:t>
      </w:r>
      <w:r w:rsidRPr="006102BD">
        <w:rPr>
          <w:rFonts w:asciiTheme="majorHAnsi" w:hAnsiTheme="majorHAnsi"/>
          <w:sz w:val="20"/>
          <w:szCs w:val="20"/>
        </w:rPr>
        <w:lastRenderedPageBreak/>
        <w:t>baril a décidé de se couvrir en figeant son prix d’achat du kérosène à un prix qu’elle pensait intéressant, or le cours s’est effondré et l’entreprise était alors liée à sa banque par un contrat très désavantageux pendant cinq ans. Se posait alors la question de savoir comment ses concurrents s’étaient eux-mêmes couverts, pour connaître leur marge de manœuvre en termes de compétitivité – prix sur le marché du transport aérien.</w:t>
      </w:r>
    </w:p>
    <w:p w:rsidR="00630D2D" w:rsidRPr="006102BD" w:rsidRDefault="00630D2D" w:rsidP="00630D2D">
      <w:pPr>
        <w:pStyle w:val="Puceniveau1"/>
        <w:numPr>
          <w:ilvl w:val="0"/>
          <w:numId w:val="0"/>
        </w:numPr>
        <w:ind w:left="709"/>
        <w:rPr>
          <w:rFonts w:asciiTheme="majorHAnsi" w:hAnsiTheme="majorHAnsi"/>
          <w:sz w:val="20"/>
          <w:szCs w:val="20"/>
        </w:rPr>
      </w:pPr>
    </w:p>
    <w:p w:rsidR="00630D2D" w:rsidRPr="008618F7" w:rsidRDefault="00630D2D" w:rsidP="00630D2D">
      <w:pPr>
        <w:pStyle w:val="Puceniveau1"/>
        <w:numPr>
          <w:ilvl w:val="0"/>
          <w:numId w:val="0"/>
        </w:numPr>
        <w:ind w:left="142"/>
        <w:rPr>
          <w:rFonts w:asciiTheme="majorHAnsi" w:hAnsiTheme="majorHAnsi"/>
          <w:sz w:val="20"/>
          <w:szCs w:val="20"/>
        </w:rPr>
      </w:pPr>
      <w:r w:rsidRPr="006102BD">
        <w:rPr>
          <w:rFonts w:asciiTheme="majorHAnsi" w:hAnsiTheme="majorHAnsi"/>
          <w:sz w:val="20"/>
          <w:szCs w:val="20"/>
        </w:rPr>
        <w:t>Les deux risques sont très liés et les modalités de couverture du risque transactionnel peuvent créer un risque de compétitivité.</w:t>
      </w:r>
    </w:p>
    <w:p w:rsidR="00630D2D" w:rsidRPr="008618F7" w:rsidRDefault="00630D2D" w:rsidP="00630D2D">
      <w:pPr>
        <w:pStyle w:val="Titre2"/>
        <w:rPr>
          <w:sz w:val="28"/>
          <w:szCs w:val="28"/>
        </w:rPr>
      </w:pPr>
      <w:r w:rsidRPr="006102BD">
        <w:rPr>
          <w:sz w:val="28"/>
          <w:szCs w:val="28"/>
        </w:rPr>
        <w:t>Quels instruments de couverture des risques de volatilité des cours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Les instruments de couverture appelés produits dérivés sont de trois types :</w:t>
      </w:r>
    </w:p>
    <w:p w:rsidR="00630D2D" w:rsidRPr="006102BD" w:rsidRDefault="00630D2D" w:rsidP="00630D2D">
      <w:pPr>
        <w:rPr>
          <w:rFonts w:asciiTheme="majorHAnsi" w:hAnsiTheme="majorHAnsi"/>
          <w:sz w:val="20"/>
          <w:szCs w:val="20"/>
        </w:rPr>
      </w:pPr>
    </w:p>
    <w:p w:rsidR="00630D2D" w:rsidRPr="006102BD" w:rsidRDefault="00630D2D" w:rsidP="00630D2D">
      <w:pPr>
        <w:pStyle w:val="Puceniveau1"/>
        <w:rPr>
          <w:rFonts w:asciiTheme="majorHAnsi" w:hAnsiTheme="majorHAnsi"/>
          <w:sz w:val="20"/>
          <w:szCs w:val="20"/>
        </w:rPr>
      </w:pPr>
      <w:r w:rsidRPr="006102BD">
        <w:rPr>
          <w:rFonts w:asciiTheme="majorHAnsi" w:hAnsiTheme="majorHAnsi"/>
          <w:b/>
          <w:bCs/>
          <w:sz w:val="20"/>
          <w:szCs w:val="20"/>
          <w:u w:val="single"/>
        </w:rPr>
        <w:t>Le contrat à terme</w:t>
      </w:r>
      <w:r w:rsidRPr="006102BD">
        <w:rPr>
          <w:rFonts w:asciiTheme="majorHAnsi" w:hAnsiTheme="majorHAnsi"/>
          <w:sz w:val="20"/>
          <w:szCs w:val="20"/>
        </w:rPr>
        <w:t> : achats à terme.</w:t>
      </w:r>
    </w:p>
    <w:p w:rsidR="00630D2D" w:rsidRPr="006102BD" w:rsidRDefault="00630D2D" w:rsidP="00630D2D">
      <w:pPr>
        <w:pStyle w:val="Puceniveau1"/>
        <w:numPr>
          <w:ilvl w:val="0"/>
          <w:numId w:val="0"/>
        </w:numPr>
        <w:ind w:left="709"/>
        <w:rPr>
          <w:rFonts w:asciiTheme="majorHAnsi" w:hAnsiTheme="majorHAnsi"/>
          <w:sz w:val="20"/>
          <w:szCs w:val="20"/>
        </w:rPr>
      </w:pPr>
      <w:r w:rsidRPr="006102BD">
        <w:rPr>
          <w:rFonts w:asciiTheme="majorHAnsi" w:hAnsiTheme="majorHAnsi"/>
          <w:sz w:val="20"/>
          <w:szCs w:val="20"/>
        </w:rPr>
        <w:t xml:space="preserve">Par exemple, on peut fixer à l’avance le prix auquel on achètera le beurre à terme sur 2 types de marché : </w:t>
      </w:r>
    </w:p>
    <w:p w:rsidR="00630D2D" w:rsidRPr="006102BD" w:rsidRDefault="00630D2D" w:rsidP="00630D2D">
      <w:pPr>
        <w:pStyle w:val="Puceniveau1"/>
        <w:numPr>
          <w:ilvl w:val="0"/>
          <w:numId w:val="12"/>
        </w:numPr>
        <w:rPr>
          <w:rFonts w:asciiTheme="majorHAnsi" w:hAnsiTheme="majorHAnsi"/>
          <w:sz w:val="20"/>
          <w:szCs w:val="20"/>
        </w:rPr>
      </w:pPr>
      <w:r w:rsidRPr="006102BD">
        <w:rPr>
          <w:rFonts w:asciiTheme="majorHAnsi" w:hAnsiTheme="majorHAnsi"/>
          <w:sz w:val="20"/>
          <w:szCs w:val="20"/>
        </w:rPr>
        <w:t xml:space="preserve">Soit sur </w:t>
      </w:r>
      <w:r w:rsidRPr="00C115A1">
        <w:rPr>
          <w:rFonts w:asciiTheme="majorHAnsi" w:hAnsiTheme="majorHAnsi"/>
          <w:b/>
          <w:bCs/>
          <w:sz w:val="20"/>
          <w:szCs w:val="20"/>
        </w:rPr>
        <w:t>le marché de gré à gré</w:t>
      </w:r>
      <w:r w:rsidRPr="006102BD">
        <w:rPr>
          <w:rFonts w:asciiTheme="majorHAnsi" w:hAnsiTheme="majorHAnsi"/>
          <w:sz w:val="20"/>
          <w:szCs w:val="20"/>
        </w:rPr>
        <w:t>, en traitant directement avec une banque</w:t>
      </w:r>
      <w:r>
        <w:rPr>
          <w:rFonts w:asciiTheme="majorHAnsi" w:hAnsiTheme="majorHAnsi"/>
          <w:sz w:val="20"/>
          <w:szCs w:val="20"/>
        </w:rPr>
        <w:t>.</w:t>
      </w:r>
    </w:p>
    <w:p w:rsidR="00630D2D" w:rsidRPr="006102BD" w:rsidRDefault="00630D2D" w:rsidP="00630D2D">
      <w:pPr>
        <w:pStyle w:val="Puceniveau1"/>
        <w:numPr>
          <w:ilvl w:val="0"/>
          <w:numId w:val="0"/>
        </w:numPr>
        <w:ind w:left="709"/>
        <w:rPr>
          <w:rFonts w:asciiTheme="majorHAnsi" w:hAnsiTheme="majorHAnsi"/>
          <w:sz w:val="20"/>
          <w:szCs w:val="20"/>
        </w:rPr>
      </w:pPr>
      <w:r w:rsidRPr="006102BD">
        <w:rPr>
          <w:rFonts w:asciiTheme="majorHAnsi" w:hAnsiTheme="majorHAnsi"/>
          <w:sz w:val="20"/>
          <w:szCs w:val="20"/>
        </w:rPr>
        <w:t xml:space="preserve">Deux débouclements du contrat sont alors possibles : </w:t>
      </w:r>
    </w:p>
    <w:p w:rsidR="00630D2D" w:rsidRPr="006102BD" w:rsidRDefault="00630D2D" w:rsidP="00630D2D">
      <w:pPr>
        <w:pStyle w:val="Puceniveau1"/>
        <w:numPr>
          <w:ilvl w:val="0"/>
          <w:numId w:val="0"/>
        </w:numPr>
        <w:ind w:left="709"/>
        <w:rPr>
          <w:rFonts w:asciiTheme="majorHAnsi" w:hAnsiTheme="majorHAnsi"/>
          <w:sz w:val="20"/>
          <w:szCs w:val="20"/>
        </w:rPr>
      </w:pPr>
      <w:r w:rsidRPr="006102BD">
        <w:rPr>
          <w:rFonts w:asciiTheme="majorHAnsi" w:hAnsiTheme="majorHAnsi"/>
          <w:sz w:val="20"/>
          <w:szCs w:val="20"/>
        </w:rPr>
        <w:t>- soit un débouclement physique : on vous livre le beurre au prix préfixé.</w:t>
      </w:r>
    </w:p>
    <w:p w:rsidR="00630D2D" w:rsidRPr="006102BD" w:rsidRDefault="00630D2D" w:rsidP="00630D2D">
      <w:pPr>
        <w:pStyle w:val="Puceniveau1"/>
        <w:numPr>
          <w:ilvl w:val="0"/>
          <w:numId w:val="0"/>
        </w:numPr>
        <w:ind w:left="709"/>
        <w:rPr>
          <w:rFonts w:asciiTheme="majorHAnsi" w:hAnsiTheme="majorHAnsi"/>
          <w:sz w:val="20"/>
          <w:szCs w:val="20"/>
        </w:rPr>
      </w:pPr>
      <w:r w:rsidRPr="006102BD">
        <w:rPr>
          <w:rFonts w:asciiTheme="majorHAnsi" w:hAnsiTheme="majorHAnsi"/>
          <w:sz w:val="20"/>
          <w:szCs w:val="20"/>
        </w:rPr>
        <w:t>- soit débouclement par différence : vous avez acheté du beurre à terme à 4 000 € la tonne, le cours est alors passé à 7000 € au terme du contrat, la banque vous verse 3000 € afin que vous puissiez acheter votre beurre à 7 000 € sur le marché à la date d’échéance du contrat.</w:t>
      </w:r>
    </w:p>
    <w:p w:rsidR="00630D2D" w:rsidRPr="006102BD" w:rsidRDefault="00630D2D" w:rsidP="00630D2D">
      <w:pPr>
        <w:pStyle w:val="Puceniveau1"/>
        <w:numPr>
          <w:ilvl w:val="0"/>
          <w:numId w:val="12"/>
        </w:numPr>
        <w:rPr>
          <w:rFonts w:asciiTheme="majorHAnsi" w:hAnsiTheme="majorHAnsi"/>
          <w:sz w:val="20"/>
          <w:szCs w:val="20"/>
        </w:rPr>
      </w:pPr>
      <w:r w:rsidRPr="006102BD">
        <w:rPr>
          <w:rFonts w:asciiTheme="majorHAnsi" w:hAnsiTheme="majorHAnsi"/>
          <w:sz w:val="20"/>
          <w:szCs w:val="20"/>
        </w:rPr>
        <w:t xml:space="preserve">Soit sur </w:t>
      </w:r>
      <w:r w:rsidRPr="00C115A1">
        <w:rPr>
          <w:rFonts w:asciiTheme="majorHAnsi" w:hAnsiTheme="majorHAnsi"/>
          <w:b/>
          <w:bCs/>
          <w:sz w:val="20"/>
          <w:szCs w:val="20"/>
        </w:rPr>
        <w:t>un marché organisé</w:t>
      </w:r>
      <w:r w:rsidRPr="006102BD">
        <w:rPr>
          <w:rFonts w:asciiTheme="majorHAnsi" w:hAnsiTheme="majorHAnsi"/>
          <w:sz w:val="20"/>
          <w:szCs w:val="20"/>
        </w:rPr>
        <w:t>, comme le EEX (European Energy Exchange) qui propose un contrat sur le beurre. Ce marché centralise la vente et l’achat de contrats à terme entre les différents acteurs (jusqu’à 1 an pour le beurre et jusqu’à 3 ans pour le blé) et demande des dépôts de garantie.</w:t>
      </w:r>
    </w:p>
    <w:p w:rsidR="00630D2D" w:rsidRPr="006102BD" w:rsidRDefault="00630D2D" w:rsidP="00630D2D">
      <w:pPr>
        <w:pStyle w:val="Puceniveau1"/>
        <w:numPr>
          <w:ilvl w:val="0"/>
          <w:numId w:val="0"/>
        </w:numPr>
        <w:ind w:left="709"/>
        <w:rPr>
          <w:rFonts w:asciiTheme="majorHAnsi" w:hAnsiTheme="majorHAnsi"/>
          <w:sz w:val="20"/>
          <w:szCs w:val="20"/>
        </w:rPr>
      </w:pPr>
    </w:p>
    <w:p w:rsidR="00630D2D" w:rsidRPr="006102BD" w:rsidRDefault="00630D2D" w:rsidP="00630D2D">
      <w:pPr>
        <w:pStyle w:val="Puceniveau1"/>
        <w:rPr>
          <w:rFonts w:asciiTheme="majorHAnsi" w:hAnsiTheme="majorHAnsi"/>
          <w:sz w:val="20"/>
          <w:szCs w:val="20"/>
        </w:rPr>
      </w:pPr>
      <w:r w:rsidRPr="006102BD">
        <w:rPr>
          <w:rFonts w:asciiTheme="majorHAnsi" w:hAnsiTheme="majorHAnsi"/>
          <w:b/>
          <w:bCs/>
          <w:sz w:val="20"/>
          <w:szCs w:val="20"/>
          <w:u w:val="single"/>
        </w:rPr>
        <w:t>Le swap</w:t>
      </w:r>
      <w:r w:rsidRPr="006102BD">
        <w:rPr>
          <w:rFonts w:asciiTheme="majorHAnsi" w:hAnsiTheme="majorHAnsi"/>
          <w:sz w:val="20"/>
          <w:szCs w:val="20"/>
        </w:rPr>
        <w:t> : succession de contrats d’échange à terme entre deux acteurs.</w:t>
      </w:r>
    </w:p>
    <w:p w:rsidR="00630D2D" w:rsidRPr="006102BD" w:rsidRDefault="00630D2D" w:rsidP="00630D2D">
      <w:pPr>
        <w:pStyle w:val="Puceniveau1"/>
        <w:numPr>
          <w:ilvl w:val="0"/>
          <w:numId w:val="0"/>
        </w:numPr>
        <w:ind w:left="709"/>
        <w:rPr>
          <w:rFonts w:asciiTheme="majorHAnsi" w:hAnsiTheme="majorHAnsi"/>
          <w:sz w:val="20"/>
          <w:szCs w:val="20"/>
        </w:rPr>
      </w:pPr>
      <w:r w:rsidRPr="006102BD">
        <w:rPr>
          <w:rFonts w:asciiTheme="majorHAnsi" w:hAnsiTheme="majorHAnsi"/>
          <w:sz w:val="20"/>
          <w:szCs w:val="20"/>
        </w:rPr>
        <w:t>Par exemple, un swap sur le beurre d’un an avec une banque : l’acheteur s’engage à payer chaque mois pendant un an à sa banque 4</w:t>
      </w:r>
      <w:r>
        <w:rPr>
          <w:rFonts w:asciiTheme="majorHAnsi" w:hAnsiTheme="majorHAnsi"/>
          <w:sz w:val="20"/>
          <w:szCs w:val="20"/>
        </w:rPr>
        <w:t xml:space="preserve"> </w:t>
      </w:r>
      <w:r w:rsidRPr="006102BD">
        <w:rPr>
          <w:rFonts w:asciiTheme="majorHAnsi" w:hAnsiTheme="majorHAnsi"/>
          <w:sz w:val="20"/>
          <w:szCs w:val="20"/>
        </w:rPr>
        <w:t xml:space="preserve">000 € la tonne de beurre. </w:t>
      </w:r>
    </w:p>
    <w:p w:rsidR="00630D2D" w:rsidRPr="006102BD" w:rsidRDefault="00630D2D" w:rsidP="00630D2D">
      <w:pPr>
        <w:pStyle w:val="Puceniveau1"/>
        <w:numPr>
          <w:ilvl w:val="0"/>
          <w:numId w:val="0"/>
        </w:numPr>
        <w:ind w:left="709"/>
        <w:rPr>
          <w:rFonts w:asciiTheme="majorHAnsi" w:hAnsiTheme="majorHAnsi"/>
          <w:sz w:val="20"/>
          <w:szCs w:val="20"/>
        </w:rPr>
      </w:pPr>
      <w:r w:rsidRPr="006102BD">
        <w:rPr>
          <w:rFonts w:asciiTheme="majorHAnsi" w:hAnsiTheme="majorHAnsi"/>
          <w:sz w:val="20"/>
          <w:szCs w:val="20"/>
        </w:rPr>
        <w:t>Ainsi, si le cours du beurre augmente sur le marché spot (actuel) la banque verse la différence pour que l’acheteur puisse réaliser son achat à 4 000 € la tonne. Mais si le cours du beurre diminue, c’est l’entreprise qui devra verser la différence à la banque. On voit dans ce cas apparaître un risque de contre-partie pour la banque</w:t>
      </w:r>
      <w:r>
        <w:rPr>
          <w:rFonts w:asciiTheme="majorHAnsi" w:hAnsiTheme="majorHAnsi"/>
          <w:sz w:val="20"/>
          <w:szCs w:val="20"/>
        </w:rPr>
        <w:t>,</w:t>
      </w:r>
      <w:r w:rsidRPr="006102BD">
        <w:rPr>
          <w:rFonts w:asciiTheme="majorHAnsi" w:hAnsiTheme="majorHAnsi"/>
          <w:sz w:val="20"/>
          <w:szCs w:val="20"/>
        </w:rPr>
        <w:t xml:space="preserve"> c’est-à-dire un risque que l’entreprise fasse défaut et ne soit pas en mesure d’assurer les versements. Pour éviter ce risque, des chambres de compensations ont été créées comme sur les marchés organisés qui demandent un dépôt de garantie.</w:t>
      </w:r>
    </w:p>
    <w:p w:rsidR="00630D2D" w:rsidRPr="006102BD" w:rsidRDefault="00630D2D" w:rsidP="00630D2D">
      <w:pPr>
        <w:pStyle w:val="Puceniveau1"/>
        <w:numPr>
          <w:ilvl w:val="0"/>
          <w:numId w:val="0"/>
        </w:numPr>
        <w:ind w:left="709"/>
        <w:rPr>
          <w:rFonts w:asciiTheme="majorHAnsi" w:hAnsiTheme="majorHAnsi"/>
          <w:sz w:val="20"/>
          <w:szCs w:val="20"/>
        </w:rPr>
      </w:pPr>
    </w:p>
    <w:p w:rsidR="00630D2D" w:rsidRPr="006102BD" w:rsidRDefault="00630D2D" w:rsidP="00630D2D">
      <w:pPr>
        <w:pStyle w:val="Puceniveau1"/>
        <w:rPr>
          <w:rFonts w:asciiTheme="majorHAnsi" w:hAnsiTheme="majorHAnsi"/>
          <w:sz w:val="20"/>
          <w:szCs w:val="20"/>
        </w:rPr>
      </w:pPr>
      <w:r w:rsidRPr="006102BD">
        <w:rPr>
          <w:rFonts w:asciiTheme="majorHAnsi" w:hAnsiTheme="majorHAnsi"/>
          <w:b/>
          <w:bCs/>
          <w:sz w:val="20"/>
          <w:szCs w:val="20"/>
          <w:u w:val="single"/>
        </w:rPr>
        <w:t>L’option</w:t>
      </w:r>
      <w:r w:rsidRPr="006102BD">
        <w:rPr>
          <w:rFonts w:asciiTheme="majorHAnsi" w:hAnsiTheme="majorHAnsi"/>
          <w:sz w:val="20"/>
          <w:szCs w:val="20"/>
        </w:rPr>
        <w:t> : contrat qui offre la possibilité mais pas l’obligation d’acheter ou de vendre à un certain prix à une certaine date. Ces contrats sont compliqués et demandent une expertise pour pouvoir les suivre et les optimiser. Ces contrats ont l’avantage de supprimer le risque de compétitivité puisqu’ils ne sont exercés que lorsqu’ils sont avantageux pour l’entreprise.</w:t>
      </w:r>
    </w:p>
    <w:p w:rsidR="00630D2D" w:rsidRPr="006102BD" w:rsidRDefault="00630D2D" w:rsidP="00630D2D">
      <w:pPr>
        <w:pStyle w:val="Puceniveau1"/>
        <w:numPr>
          <w:ilvl w:val="0"/>
          <w:numId w:val="0"/>
        </w:numPr>
        <w:ind w:left="709" w:hanging="425"/>
        <w:rPr>
          <w:rFonts w:asciiTheme="majorHAnsi" w:hAnsiTheme="majorHAnsi"/>
          <w:sz w:val="20"/>
          <w:szCs w:val="20"/>
        </w:rPr>
      </w:pPr>
    </w:p>
    <w:p w:rsidR="00630D2D" w:rsidRDefault="00630D2D" w:rsidP="00630D2D">
      <w:pPr>
        <w:pStyle w:val="Titre2"/>
        <w:rPr>
          <w:sz w:val="28"/>
          <w:szCs w:val="28"/>
        </w:rPr>
      </w:pPr>
    </w:p>
    <w:p w:rsidR="00630D2D" w:rsidRPr="006102BD" w:rsidRDefault="00630D2D" w:rsidP="00630D2D">
      <w:pPr>
        <w:pStyle w:val="Titre2"/>
        <w:rPr>
          <w:sz w:val="28"/>
          <w:szCs w:val="28"/>
        </w:rPr>
      </w:pPr>
      <w:r w:rsidRPr="006102BD">
        <w:rPr>
          <w:sz w:val="28"/>
          <w:szCs w:val="28"/>
        </w:rPr>
        <w:t>Microstructure des marchés de matières premières</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Les acteurs qui opèrent sur les marchés agissent selon des objectifs de couverture ou de spéculation, dont il est difficile d’établir la frontière. Le faible nombre d’opérateurs sur certaines matières réduit la liquidité sur le marché, et peut empêcher les opérations de couverture du risque. Par exemple, il est facile de se couvrir sur le blé mais difficile sur le beurre.</w:t>
      </w:r>
    </w:p>
    <w:p w:rsidR="00630D2D" w:rsidRPr="006102BD" w:rsidRDefault="00630D2D" w:rsidP="00630D2D">
      <w:pPr>
        <w:rPr>
          <w:rFonts w:asciiTheme="majorHAnsi" w:hAnsiTheme="majorHAnsi"/>
          <w:sz w:val="20"/>
          <w:szCs w:val="20"/>
        </w:rPr>
      </w:pPr>
    </w:p>
    <w:p w:rsidR="00630D2D" w:rsidRPr="006102BD" w:rsidRDefault="00630D2D" w:rsidP="00630D2D">
      <w:pPr>
        <w:rPr>
          <w:rFonts w:asciiTheme="majorHAnsi" w:hAnsiTheme="majorHAnsi"/>
          <w:sz w:val="20"/>
          <w:szCs w:val="20"/>
          <w:u w:val="single"/>
        </w:rPr>
      </w:pPr>
      <w:r w:rsidRPr="006102BD">
        <w:rPr>
          <w:rFonts w:asciiTheme="majorHAnsi" w:hAnsiTheme="majorHAnsi"/>
          <w:sz w:val="20"/>
          <w:szCs w:val="20"/>
          <w:u w:val="single"/>
        </w:rPr>
        <w:t>Exploitation pédagogique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1</w:t>
      </w:r>
      <w:r w:rsidRPr="006102BD">
        <w:rPr>
          <w:rFonts w:asciiTheme="majorHAnsi" w:hAnsiTheme="majorHAnsi"/>
          <w:sz w:val="20"/>
          <w:szCs w:val="20"/>
          <w:vertAlign w:val="superscript"/>
        </w:rPr>
        <w:t>ère</w:t>
      </w:r>
      <w:r w:rsidRPr="006102BD">
        <w:rPr>
          <w:rFonts w:asciiTheme="majorHAnsi" w:hAnsiTheme="majorHAnsi"/>
          <w:sz w:val="20"/>
          <w:szCs w:val="20"/>
        </w:rPr>
        <w:t xml:space="preserve"> STMG : nouveau programme de Sciences de Gestion et Numérique </w:t>
      </w:r>
    </w:p>
    <w:p w:rsidR="00630D2D" w:rsidRPr="006102BD" w:rsidRDefault="00630D2D" w:rsidP="00630D2D">
      <w:pPr>
        <w:rPr>
          <w:rFonts w:asciiTheme="majorHAnsi" w:hAnsiTheme="majorHAnsi"/>
          <w:sz w:val="20"/>
          <w:szCs w:val="20"/>
          <w:u w:val="single"/>
        </w:rPr>
      </w:pPr>
      <w:r w:rsidRPr="006102BD">
        <w:rPr>
          <w:rFonts w:asciiTheme="majorHAnsi" w:hAnsiTheme="majorHAnsi"/>
          <w:sz w:val="20"/>
          <w:szCs w:val="20"/>
          <w:u w:val="single"/>
        </w:rPr>
        <w:t>Thème 4 : Temps et risque.</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Question de gestion : l’amélioration de la performance est-elle sans risque ?</w:t>
      </w:r>
    </w:p>
    <w:p w:rsidR="00630D2D" w:rsidRPr="006102BD" w:rsidRDefault="00630D2D" w:rsidP="00630D2D">
      <w:pPr>
        <w:rPr>
          <w:rFonts w:asciiTheme="majorHAnsi" w:hAnsiTheme="majorHAnsi"/>
          <w:sz w:val="20"/>
          <w:szCs w:val="20"/>
        </w:rPr>
      </w:pPr>
    </w:p>
    <w:p w:rsidR="00630D2D" w:rsidRPr="006102BD" w:rsidRDefault="00630D2D" w:rsidP="00630D2D">
      <w:pPr>
        <w:rPr>
          <w:rFonts w:asciiTheme="majorHAnsi" w:hAnsiTheme="majorHAnsi"/>
          <w:sz w:val="20"/>
          <w:szCs w:val="20"/>
        </w:rPr>
      </w:pPr>
      <w:r w:rsidRPr="006102BD">
        <w:rPr>
          <w:rFonts w:asciiTheme="majorHAnsi" w:hAnsiTheme="majorHAnsi"/>
          <w:sz w:val="20"/>
          <w:szCs w:val="20"/>
          <w:u w:val="single"/>
        </w:rPr>
        <w:t>Extrait du programme</w:t>
      </w:r>
      <w:r w:rsidRPr="006102BD">
        <w:rPr>
          <w:rFonts w:asciiTheme="majorHAnsi" w:hAnsiTheme="majorHAnsi"/>
          <w:sz w:val="20"/>
          <w:szCs w:val="20"/>
        </w:rPr>
        <w:t>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Gérer, c’est prendre des risques qu’il convient de prévoir et d’anticiper. La recherche de l’efficacité en gestion nécessite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1 - de repérer les risques externes auxquels les organisations sont confrontées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2 -de repérer les risques induits par une décision dans un contexte organisationnel donné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3 -d’apprécier l’incidence du risque sur la performance de l’organisation</w:t>
      </w:r>
    </w:p>
    <w:p w:rsidR="00630D2D" w:rsidRPr="006102BD" w:rsidRDefault="00630D2D" w:rsidP="00630D2D">
      <w:pPr>
        <w:rPr>
          <w:rFonts w:asciiTheme="majorHAnsi" w:hAnsiTheme="majorHAnsi"/>
          <w:sz w:val="20"/>
          <w:szCs w:val="20"/>
        </w:rPr>
      </w:pPr>
    </w:p>
    <w:p w:rsidR="00630D2D" w:rsidRPr="006102BD" w:rsidRDefault="00630D2D" w:rsidP="00630D2D">
      <w:pPr>
        <w:rPr>
          <w:rFonts w:asciiTheme="majorHAnsi" w:hAnsiTheme="majorHAnsi"/>
          <w:sz w:val="20"/>
          <w:szCs w:val="20"/>
          <w:u w:val="single"/>
        </w:rPr>
      </w:pPr>
      <w:r w:rsidRPr="006102BD">
        <w:rPr>
          <w:rFonts w:asciiTheme="majorHAnsi" w:hAnsiTheme="majorHAnsi"/>
          <w:sz w:val="20"/>
          <w:szCs w:val="20"/>
          <w:u w:val="single"/>
        </w:rPr>
        <w:t>L’exemple d’Air France développé dans l’exposé est une excellente illustration de ce point du programme :</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1 - Air France est exposé au risque lié aux variations du cours du pétrole.</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2 – Face à la hausse du prix du baril, l’entreprise décide de se couvrir par un swap pendant cinq ans.</w:t>
      </w: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3 -Cette décision s’avère inappropriée car le cours du pétrole se met à chuter brutalement. Par conséquent, le résultat de l’entreprise se dégrade fortement et elle réalise des pertes de 814 millions en 2008/2009.</w:t>
      </w:r>
    </w:p>
    <w:p w:rsidR="00630D2D" w:rsidRPr="006102BD" w:rsidRDefault="00630D2D" w:rsidP="00630D2D">
      <w:pPr>
        <w:rPr>
          <w:rFonts w:asciiTheme="majorHAnsi" w:hAnsiTheme="majorHAnsi"/>
          <w:sz w:val="20"/>
          <w:szCs w:val="20"/>
        </w:rPr>
      </w:pPr>
    </w:p>
    <w:p w:rsidR="00630D2D" w:rsidRPr="006102BD" w:rsidRDefault="00630D2D" w:rsidP="00630D2D">
      <w:pPr>
        <w:rPr>
          <w:rFonts w:asciiTheme="majorHAnsi" w:hAnsiTheme="majorHAnsi"/>
          <w:sz w:val="20"/>
          <w:szCs w:val="20"/>
        </w:rPr>
      </w:pPr>
    </w:p>
    <w:p w:rsidR="00630D2D" w:rsidRPr="006102BD" w:rsidRDefault="00630D2D" w:rsidP="00630D2D">
      <w:pPr>
        <w:rPr>
          <w:rFonts w:asciiTheme="majorHAnsi" w:hAnsiTheme="majorHAnsi"/>
          <w:sz w:val="20"/>
          <w:szCs w:val="20"/>
        </w:rPr>
      </w:pPr>
      <w:r w:rsidRPr="006102BD">
        <w:rPr>
          <w:rFonts w:asciiTheme="majorHAnsi" w:hAnsiTheme="majorHAnsi"/>
          <w:sz w:val="20"/>
          <w:szCs w:val="20"/>
        </w:rPr>
        <w:t>Les intervenants proposent de regarder le film « Margin call » pour illustrer les opérations à terme.</w:t>
      </w:r>
    </w:p>
    <w:p w:rsidR="00955E96" w:rsidRPr="00FE5A73" w:rsidRDefault="00955E96" w:rsidP="00FE5A73">
      <w:bookmarkStart w:id="2" w:name="_GoBack"/>
      <w:bookmarkEnd w:id="2"/>
    </w:p>
    <w:sectPr w:rsidR="00955E96" w:rsidRPr="00FE5A73" w:rsidSect="0049470D">
      <w:headerReference w:type="even" r:id="rId12"/>
      <w:footerReference w:type="default" r:id="rId13"/>
      <w:footerReference w:type="first" r:id="rId14"/>
      <w:type w:val="continuous"/>
      <w:pgSz w:w="11900" w:h="16840"/>
      <w:pgMar w:top="1985" w:right="1694" w:bottom="1843" w:left="1418" w:header="1239"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4E" w:rsidRDefault="00EE384E" w:rsidP="00D5396D">
      <w:r>
        <w:separator/>
      </w:r>
    </w:p>
  </w:endnote>
  <w:endnote w:type="continuationSeparator" w:id="0">
    <w:p w:rsidR="00EE384E" w:rsidRDefault="00EE384E"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A1002AE7" w:usb1="C0000063" w:usb2="00000038"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0F3" w:rsidRPr="00D5396D" w:rsidRDefault="00284588" w:rsidP="00D5396D">
    <w:pPr>
      <w:pStyle w:val="Pieddepage"/>
      <w:jc w:val="center"/>
      <w:rPr>
        <w:sz w:val="16"/>
        <w:szCs w:val="16"/>
      </w:rPr>
    </w:pPr>
    <w:r>
      <w:rPr>
        <w:noProof/>
        <w:szCs w:val="12"/>
      </w:rPr>
      <w:drawing>
        <wp:anchor distT="0" distB="0" distL="114300" distR="114300" simplePos="0" relativeHeight="251656192" behindDoc="1" locked="1" layoutInCell="1" allowOverlap="1" wp14:anchorId="4FAE80CE" wp14:editId="749040EA">
          <wp:simplePos x="0" y="0"/>
          <wp:positionH relativeFrom="page">
            <wp:posOffset>-575945</wp:posOffset>
          </wp:positionH>
          <wp:positionV relativeFrom="page">
            <wp:posOffset>3942715</wp:posOffset>
          </wp:positionV>
          <wp:extent cx="6674400" cy="7513200"/>
          <wp:effectExtent l="0" t="0" r="0" b="0"/>
          <wp:wrapNone/>
          <wp:docPr id="435" name="Imag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HEE Background.png"/>
                  <pic:cNvPicPr/>
                </pic:nvPicPr>
                <pic:blipFill>
                  <a:blip r:embed="rId1">
                    <a:duotone>
                      <a:prstClr val="black"/>
                      <a:schemeClr val="accent2">
                        <a:tint val="45000"/>
                        <a:satMod val="400000"/>
                      </a:schemeClr>
                    </a:duotone>
                    <a:extLst>
                      <a:ext uri="{BEBA8EAE-BF5A-486C-A8C5-ECC9F3942E4B}">
                        <a14:imgProps xmlns:a14="http://schemas.microsoft.com/office/drawing/2010/main">
                          <a14:imgLayer r:embed="rId2">
                            <a14:imgEffect>
                              <a14:brightnessContrast bright="40000" contrast="-40000"/>
                            </a14:imgEffect>
                          </a14:imgLayer>
                        </a14:imgProps>
                      </a:ext>
                    </a:extLst>
                  </a:blip>
                  <a:stretch>
                    <a:fillRect/>
                  </a:stretch>
                </pic:blipFill>
                <pic:spPr>
                  <a:xfrm>
                    <a:off x="0" y="0"/>
                    <a:ext cx="6674400" cy="7513200"/>
                  </a:xfrm>
                  <a:prstGeom prst="rect">
                    <a:avLst/>
                  </a:prstGeom>
                </pic:spPr>
              </pic:pic>
            </a:graphicData>
          </a:graphic>
          <wp14:sizeRelH relativeFrom="page">
            <wp14:pctWidth>0</wp14:pctWidth>
          </wp14:sizeRelH>
          <wp14:sizeRelV relativeFrom="page">
            <wp14:pctHeight>0</wp14:pctHeight>
          </wp14:sizeRelV>
        </wp:anchor>
      </w:drawing>
    </w:r>
    <w:r w:rsidR="003B20F3" w:rsidRPr="00D5396D">
      <w:rPr>
        <w:noProof/>
        <w:sz w:val="16"/>
        <w:szCs w:val="16"/>
      </w:rPr>
      <mc:AlternateContent>
        <mc:Choice Requires="wps">
          <w:drawing>
            <wp:anchor distT="0" distB="0" distL="114300" distR="114300" simplePos="0" relativeHeight="251655168" behindDoc="0" locked="1" layoutInCell="1" allowOverlap="1" wp14:anchorId="5D17484B" wp14:editId="613D45AD">
              <wp:simplePos x="0" y="0"/>
              <wp:positionH relativeFrom="margin">
                <wp:align>center</wp:align>
              </wp:positionH>
              <wp:positionV relativeFrom="page">
                <wp:posOffset>10261600</wp:posOffset>
              </wp:positionV>
              <wp:extent cx="3031200" cy="0"/>
              <wp:effectExtent l="0" t="0" r="0" b="0"/>
              <wp:wrapNone/>
              <wp:docPr id="151" name="Connecteur droit 151"/>
              <wp:cNvGraphicFramePr/>
              <a:graphic xmlns:a="http://schemas.openxmlformats.org/drawingml/2006/main">
                <a:graphicData uri="http://schemas.microsoft.com/office/word/2010/wordprocessingShape">
                  <wps:wsp>
                    <wps:cNvCnPr/>
                    <wps:spPr>
                      <a:xfrm>
                        <a:off x="0" y="0"/>
                        <a:ext cx="3031200" cy="0"/>
                      </a:xfrm>
                      <a:prstGeom prst="line">
                        <a:avLst/>
                      </a:prstGeom>
                      <a:ln>
                        <a:solidFill>
                          <a:srgbClr val="922C8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0C374D" id="Connecteur droit 151" o:spid="_x0000_s1026" style="position:absolute;z-index:25165516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08pt" to="238.7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" strokecolor="#922c83" strokeweight="2pt">
              <w10:wrap anchorx="margin" anchory="page"/>
              <w10:anchorlock/>
            </v:line>
          </w:pict>
        </mc:Fallback>
      </mc:AlternateContent>
    </w:r>
    <w:r w:rsidR="003B20F3" w:rsidRPr="00D5396D">
      <w:rPr>
        <w:sz w:val="16"/>
        <w:szCs w:val="16"/>
      </w:rPr>
      <w:t xml:space="preserve">29, rue de Lisbonne 75008 Paris </w:t>
    </w:r>
    <w:r w:rsidR="003B20F3" w:rsidRPr="000C762E">
      <w:rPr>
        <w:color w:val="EA1581" w:themeColor="accent2"/>
        <w:sz w:val="16"/>
        <w:szCs w:val="16"/>
      </w:rPr>
      <w:t xml:space="preserve">∙ </w:t>
    </w:r>
    <w:r w:rsidR="003B20F3" w:rsidRPr="00D5396D">
      <w:rPr>
        <w:color w:val="000000" w:themeColor="text1"/>
        <w:sz w:val="16"/>
        <w:szCs w:val="16"/>
      </w:rPr>
      <w:t>Tél. 33 (0) 1 53 23 05 4</w:t>
    </w:r>
    <w:r w:rsidR="00551DF8">
      <w:rPr>
        <w:color w:val="000000" w:themeColor="text1"/>
        <w:sz w:val="16"/>
        <w:szCs w:val="16"/>
      </w:rPr>
      <w:t>9</w:t>
    </w:r>
    <w:r w:rsidR="003B20F3" w:rsidRPr="00D5396D">
      <w:rPr>
        <w:color w:val="000000" w:themeColor="text1"/>
        <w:sz w:val="16"/>
        <w:szCs w:val="16"/>
      </w:rPr>
      <w:t xml:space="preserve"> </w:t>
    </w:r>
    <w:r w:rsidR="003B20F3" w:rsidRPr="000C762E">
      <w:rPr>
        <w:color w:val="EA1581" w:themeColor="accent2"/>
        <w:sz w:val="16"/>
        <w:szCs w:val="16"/>
      </w:rPr>
      <w:t xml:space="preserve">∙ </w:t>
    </w:r>
    <w:r w:rsidR="003B20F3" w:rsidRPr="000C762E">
      <w:rPr>
        <w:b/>
        <w:color w:val="EA1581" w:themeColor="accent2"/>
        <w:sz w:val="16"/>
        <w:szCs w:val="16"/>
      </w:rPr>
      <w:t>www.</w:t>
    </w:r>
    <w:r w:rsidR="00551DF8">
      <w:rPr>
        <w:b/>
        <w:color w:val="EA1581" w:themeColor="accent2"/>
        <w:sz w:val="16"/>
        <w:szCs w:val="16"/>
      </w:rPr>
      <w:t>melchior</w:t>
    </w:r>
    <w:r w:rsidR="003B20F3" w:rsidRPr="000C762E">
      <w:rPr>
        <w:b/>
        <w:color w:val="EA1581" w:themeColor="accent2"/>
        <w:sz w:val="16"/>
        <w:szCs w:val="16"/>
      </w:rP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046" w:rsidRDefault="00DF4046">
    <w:pPr>
      <w:pStyle w:val="Pieddepage"/>
    </w:pPr>
    <w:r>
      <w:rPr>
        <w:noProof/>
        <w:szCs w:val="12"/>
      </w:rPr>
      <w:drawing>
        <wp:anchor distT="0" distB="0" distL="114300" distR="114300" simplePos="0" relativeHeight="251659264" behindDoc="1" locked="1" layoutInCell="1" allowOverlap="1" wp14:anchorId="3F0638E0" wp14:editId="6CC0B221">
          <wp:simplePos x="0" y="0"/>
          <wp:positionH relativeFrom="page">
            <wp:posOffset>-575945</wp:posOffset>
          </wp:positionH>
          <wp:positionV relativeFrom="page">
            <wp:posOffset>3942715</wp:posOffset>
          </wp:positionV>
          <wp:extent cx="6674400" cy="7513200"/>
          <wp:effectExtent l="0" t="0" r="0" b="0"/>
          <wp:wrapNone/>
          <wp:docPr id="477" name="Imag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HEE Background.png"/>
                  <pic:cNvPicPr/>
                </pic:nvPicPr>
                <pic:blipFill>
                  <a:blip r:embed="rId1">
                    <a:duotone>
                      <a:prstClr val="black"/>
                      <a:schemeClr val="accent2">
                        <a:tint val="45000"/>
                        <a:satMod val="400000"/>
                      </a:schemeClr>
                    </a:duotone>
                    <a:extLst>
                      <a:ext uri="{BEBA8EAE-BF5A-486C-A8C5-ECC9F3942E4B}">
                        <a14:imgProps xmlns:a14="http://schemas.microsoft.com/office/drawing/2010/main">
                          <a14:imgLayer r:embed="rId2">
                            <a14:imgEffect>
                              <a14:brightnessContrast bright="40000" contrast="-40000"/>
                            </a14:imgEffect>
                          </a14:imgLayer>
                        </a14:imgProps>
                      </a:ext>
                    </a:extLst>
                  </a:blip>
                  <a:stretch>
                    <a:fillRect/>
                  </a:stretch>
                </pic:blipFill>
                <pic:spPr>
                  <a:xfrm>
                    <a:off x="0" y="0"/>
                    <a:ext cx="6674400" cy="751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4E" w:rsidRDefault="00EE384E" w:rsidP="00D5396D">
      <w:r>
        <w:separator/>
      </w:r>
    </w:p>
  </w:footnote>
  <w:footnote w:type="continuationSeparator" w:id="0">
    <w:p w:rsidR="00EE384E" w:rsidRDefault="00EE384E"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CC" w:rsidRDefault="00EE384E" w:rsidP="00D5396D">
    <w:pPr>
      <w:pStyle w:val="En-tte"/>
    </w:pPr>
    <w:r>
      <w:rPr>
        <w:noProof/>
      </w:rPr>
      <w:pict w14:anchorId="421F7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left:0;text-align:left;margin-left:0;margin-top:0;width:595.3pt;height:841.9pt;z-index:-251656192;mso-wrap-edited:f;mso-position-horizontal:center;mso-position-horizontal-relative:margin;mso-position-vertical:center;mso-position-vertical-relative:margin"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CF8"/>
    <w:multiLevelType w:val="hybridMultilevel"/>
    <w:tmpl w:val="F4D09B1C"/>
    <w:lvl w:ilvl="0" w:tplc="A61E7DC2">
      <w:start w:val="1"/>
      <w:numFmt w:val="bullet"/>
      <w:lvlText w:val=""/>
      <w:lvlJc w:val="left"/>
      <w:pPr>
        <w:ind w:left="1429" w:hanging="360"/>
      </w:pPr>
      <w:rPr>
        <w:rFonts w:ascii="Symbol" w:hAnsi="Symbol"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 w15:restartNumberingAfterBreak="0">
    <w:nsid w:val="1C7B5D57"/>
    <w:multiLevelType w:val="hybridMultilevel"/>
    <w:tmpl w:val="5A96A658"/>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2" w15:restartNumberingAfterBreak="0">
    <w:nsid w:val="32B4614D"/>
    <w:multiLevelType w:val="hybridMultilevel"/>
    <w:tmpl w:val="2046A0B2"/>
    <w:lvl w:ilvl="0" w:tplc="040C0001">
      <w:start w:val="1"/>
      <w:numFmt w:val="bullet"/>
      <w:lvlText w:val=""/>
      <w:lvlJc w:val="left"/>
      <w:pPr>
        <w:ind w:left="862" w:hanging="360"/>
      </w:pPr>
      <w:rPr>
        <w:rFonts w:ascii="Symbol" w:hAnsi="Symbol" w:hint="default"/>
        <w:color w:val="EA1581" w:themeColor="accent2"/>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3B1556B9"/>
    <w:multiLevelType w:val="hybridMultilevel"/>
    <w:tmpl w:val="3778723C"/>
    <w:lvl w:ilvl="0" w:tplc="AB267664">
      <w:start w:val="111"/>
      <w:numFmt w:val="bullet"/>
      <w:lvlText w:val="-"/>
      <w:lvlJc w:val="left"/>
      <w:pPr>
        <w:ind w:left="720" w:hanging="360"/>
      </w:pPr>
      <w:rPr>
        <w:rFonts w:ascii="-webkit-standard" w:eastAsiaTheme="minorEastAsia" w:hAnsi="-webkit-standar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07166D0"/>
    <w:multiLevelType w:val="hybridMultilevel"/>
    <w:tmpl w:val="4EF0AC5E"/>
    <w:lvl w:ilvl="0" w:tplc="42DC6706">
      <w:start w:val="1"/>
      <w:numFmt w:val="bullet"/>
      <w:pStyle w:val="Puceniveau3"/>
      <w:lvlText w:val="o"/>
      <w:lvlJc w:val="left"/>
      <w:pPr>
        <w:ind w:left="862" w:hanging="360"/>
      </w:pPr>
      <w:rPr>
        <w:rFonts w:ascii="Courier New" w:hAnsi="Courier New" w:cs="Courier New" w:hint="default"/>
        <w:color w:val="EA1581" w:themeColor="accent2"/>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BD1974"/>
    <w:multiLevelType w:val="hybridMultilevel"/>
    <w:tmpl w:val="96469B4E"/>
    <w:lvl w:ilvl="0" w:tplc="54E64F02">
      <w:numFmt w:val="bullet"/>
      <w:lvlText w:val="-"/>
      <w:lvlJc w:val="left"/>
      <w:pPr>
        <w:ind w:left="502" w:hanging="360"/>
      </w:pPr>
      <w:rPr>
        <w:rFonts w:ascii="Verdana" w:eastAsiaTheme="minorEastAsia" w:hAnsi="Verdana"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483F5AB6"/>
    <w:multiLevelType w:val="hybridMultilevel"/>
    <w:tmpl w:val="9940D91E"/>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7" w15:restartNumberingAfterBreak="0">
    <w:nsid w:val="492B368E"/>
    <w:multiLevelType w:val="hybridMultilevel"/>
    <w:tmpl w:val="4E105334"/>
    <w:lvl w:ilvl="0" w:tplc="6E9A894A">
      <w:start w:val="1"/>
      <w:numFmt w:val="bullet"/>
      <w:pStyle w:val="Puceniveau1"/>
      <w:lvlText w:val=""/>
      <w:lvlJc w:val="left"/>
      <w:pPr>
        <w:ind w:left="862" w:hanging="360"/>
      </w:pPr>
      <w:rPr>
        <w:rFonts w:ascii="Symbol" w:hAnsi="Symbol" w:hint="default"/>
        <w:color w:val="EA1581" w:themeColor="accent2"/>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3CD05A1"/>
    <w:multiLevelType w:val="hybridMultilevel"/>
    <w:tmpl w:val="5FBE5790"/>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0" w15:restartNumberingAfterBreak="0">
    <w:nsid w:val="6E2B36CA"/>
    <w:multiLevelType w:val="hybridMultilevel"/>
    <w:tmpl w:val="EB0476E6"/>
    <w:lvl w:ilvl="0" w:tplc="B62A2106">
      <w:start w:val="1"/>
      <w:numFmt w:val="bullet"/>
      <w:pStyle w:val="Puceniveau4"/>
      <w:lvlText w:val=""/>
      <w:lvlJc w:val="left"/>
      <w:pPr>
        <w:ind w:left="862" w:hanging="360"/>
      </w:pPr>
      <w:rPr>
        <w:rFonts w:ascii="Wingdings" w:hAnsi="Wingdings" w:hint="default"/>
        <w:color w:val="EA1581" w:themeColor="accent2"/>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7A30540D"/>
    <w:multiLevelType w:val="multilevel"/>
    <w:tmpl w:val="657EF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10"/>
  </w:num>
  <w:num w:numId="5">
    <w:abstractNumId w:val="5"/>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9"/>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72"/>
    <w:rsid w:val="000033C3"/>
    <w:rsid w:val="00024E1E"/>
    <w:rsid w:val="000731E1"/>
    <w:rsid w:val="00080F01"/>
    <w:rsid w:val="000948B6"/>
    <w:rsid w:val="000C1D34"/>
    <w:rsid w:val="000C762E"/>
    <w:rsid w:val="000D30A6"/>
    <w:rsid w:val="000E1F85"/>
    <w:rsid w:val="000E28E4"/>
    <w:rsid w:val="00155C84"/>
    <w:rsid w:val="001651BB"/>
    <w:rsid w:val="00181580"/>
    <w:rsid w:val="00253BEF"/>
    <w:rsid w:val="002560FF"/>
    <w:rsid w:val="00284588"/>
    <w:rsid w:val="002C35D9"/>
    <w:rsid w:val="002C5567"/>
    <w:rsid w:val="002D342F"/>
    <w:rsid w:val="002D7EC9"/>
    <w:rsid w:val="002E1DFA"/>
    <w:rsid w:val="002E1E03"/>
    <w:rsid w:val="002F5750"/>
    <w:rsid w:val="00327E64"/>
    <w:rsid w:val="003330A9"/>
    <w:rsid w:val="00354508"/>
    <w:rsid w:val="00361441"/>
    <w:rsid w:val="00363EFC"/>
    <w:rsid w:val="00365EE6"/>
    <w:rsid w:val="003A012E"/>
    <w:rsid w:val="003A6A3E"/>
    <w:rsid w:val="003B20F3"/>
    <w:rsid w:val="003D64DA"/>
    <w:rsid w:val="003E3930"/>
    <w:rsid w:val="00404CFD"/>
    <w:rsid w:val="00423AB7"/>
    <w:rsid w:val="00455561"/>
    <w:rsid w:val="00467167"/>
    <w:rsid w:val="00485D01"/>
    <w:rsid w:val="004902A7"/>
    <w:rsid w:val="0049470D"/>
    <w:rsid w:val="004A09F5"/>
    <w:rsid w:val="004C0909"/>
    <w:rsid w:val="004C0EFD"/>
    <w:rsid w:val="004C35F2"/>
    <w:rsid w:val="004F0824"/>
    <w:rsid w:val="005222E3"/>
    <w:rsid w:val="00535E9A"/>
    <w:rsid w:val="005379B1"/>
    <w:rsid w:val="00545949"/>
    <w:rsid w:val="00551DF8"/>
    <w:rsid w:val="00584783"/>
    <w:rsid w:val="0059345C"/>
    <w:rsid w:val="00597CB0"/>
    <w:rsid w:val="005D441D"/>
    <w:rsid w:val="005E4233"/>
    <w:rsid w:val="00601BCA"/>
    <w:rsid w:val="006146FB"/>
    <w:rsid w:val="006229C8"/>
    <w:rsid w:val="00630D2D"/>
    <w:rsid w:val="00631317"/>
    <w:rsid w:val="00647066"/>
    <w:rsid w:val="00665A26"/>
    <w:rsid w:val="00684F6C"/>
    <w:rsid w:val="006F1965"/>
    <w:rsid w:val="006F2331"/>
    <w:rsid w:val="006F3F85"/>
    <w:rsid w:val="0071068F"/>
    <w:rsid w:val="00742684"/>
    <w:rsid w:val="00766892"/>
    <w:rsid w:val="00785017"/>
    <w:rsid w:val="00791375"/>
    <w:rsid w:val="00791860"/>
    <w:rsid w:val="007A334D"/>
    <w:rsid w:val="007B551E"/>
    <w:rsid w:val="007D7604"/>
    <w:rsid w:val="007E4A49"/>
    <w:rsid w:val="007F63AA"/>
    <w:rsid w:val="0082425E"/>
    <w:rsid w:val="008437A2"/>
    <w:rsid w:val="00857C54"/>
    <w:rsid w:val="00882976"/>
    <w:rsid w:val="00896247"/>
    <w:rsid w:val="008B337F"/>
    <w:rsid w:val="008E7681"/>
    <w:rsid w:val="008F6B79"/>
    <w:rsid w:val="009053DA"/>
    <w:rsid w:val="00921640"/>
    <w:rsid w:val="00955E96"/>
    <w:rsid w:val="00961845"/>
    <w:rsid w:val="009641E0"/>
    <w:rsid w:val="00966504"/>
    <w:rsid w:val="00996F29"/>
    <w:rsid w:val="009A394C"/>
    <w:rsid w:val="009B2F82"/>
    <w:rsid w:val="009B57E1"/>
    <w:rsid w:val="009D3A17"/>
    <w:rsid w:val="00A1491A"/>
    <w:rsid w:val="00A31167"/>
    <w:rsid w:val="00A40F1D"/>
    <w:rsid w:val="00A5358A"/>
    <w:rsid w:val="00AA7CC3"/>
    <w:rsid w:val="00AB0211"/>
    <w:rsid w:val="00AD6BF1"/>
    <w:rsid w:val="00AE04F8"/>
    <w:rsid w:val="00AF090F"/>
    <w:rsid w:val="00AF09D2"/>
    <w:rsid w:val="00B2198A"/>
    <w:rsid w:val="00B26F97"/>
    <w:rsid w:val="00B35FC9"/>
    <w:rsid w:val="00BA2AF4"/>
    <w:rsid w:val="00BC611E"/>
    <w:rsid w:val="00C0102E"/>
    <w:rsid w:val="00C06FEC"/>
    <w:rsid w:val="00C10FF3"/>
    <w:rsid w:val="00C302B3"/>
    <w:rsid w:val="00C75F7A"/>
    <w:rsid w:val="00C9005F"/>
    <w:rsid w:val="00CC43CD"/>
    <w:rsid w:val="00CD2D63"/>
    <w:rsid w:val="00CD6172"/>
    <w:rsid w:val="00CD65A3"/>
    <w:rsid w:val="00D03A57"/>
    <w:rsid w:val="00D25804"/>
    <w:rsid w:val="00D43EE6"/>
    <w:rsid w:val="00D5396D"/>
    <w:rsid w:val="00D70923"/>
    <w:rsid w:val="00D75256"/>
    <w:rsid w:val="00D846A5"/>
    <w:rsid w:val="00DA2669"/>
    <w:rsid w:val="00DF4046"/>
    <w:rsid w:val="00DF55CC"/>
    <w:rsid w:val="00DF7068"/>
    <w:rsid w:val="00E0167E"/>
    <w:rsid w:val="00E43F83"/>
    <w:rsid w:val="00E518CD"/>
    <w:rsid w:val="00E52FAA"/>
    <w:rsid w:val="00E610AB"/>
    <w:rsid w:val="00E71CB6"/>
    <w:rsid w:val="00E72089"/>
    <w:rsid w:val="00E90197"/>
    <w:rsid w:val="00E9411B"/>
    <w:rsid w:val="00EA4DBB"/>
    <w:rsid w:val="00EE1A00"/>
    <w:rsid w:val="00EE384E"/>
    <w:rsid w:val="00F10539"/>
    <w:rsid w:val="00F227AE"/>
    <w:rsid w:val="00F34CB1"/>
    <w:rsid w:val="00F76034"/>
    <w:rsid w:val="00F8060F"/>
    <w:rsid w:val="00FA552B"/>
    <w:rsid w:val="00FE2A5B"/>
    <w:rsid w:val="00FE5A73"/>
    <w:rsid w:val="00FF48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ocId w14:val="377E8424"/>
  <w14:defaultImageDpi w14:val="300"/>
  <w15:docId w15:val="{8CBBF205-96FA-4333-B21B-EFB5CD4F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0D2D"/>
    <w:pPr>
      <w:ind w:left="142"/>
      <w:jc w:val="both"/>
    </w:pPr>
    <w:rPr>
      <w:sz w:val="22"/>
    </w:rPr>
  </w:style>
  <w:style w:type="paragraph" w:styleId="Titre1">
    <w:name w:val="heading 1"/>
    <w:basedOn w:val="Normal"/>
    <w:next w:val="Normal"/>
    <w:link w:val="Titre1Car"/>
    <w:uiPriority w:val="9"/>
    <w:qFormat/>
    <w:rsid w:val="00BC611E"/>
    <w:pPr>
      <w:spacing w:before="360" w:after="360"/>
      <w:jc w:val="left"/>
      <w:outlineLvl w:val="0"/>
    </w:pPr>
    <w:rPr>
      <w:rFonts w:asciiTheme="majorHAnsi" w:hAnsiTheme="majorHAnsi"/>
      <w:b/>
      <w:caps/>
      <w:color w:val="922C83"/>
      <w:sz w:val="52"/>
      <w:szCs w:val="52"/>
    </w:rPr>
  </w:style>
  <w:style w:type="paragraph" w:styleId="Titre2">
    <w:name w:val="heading 2"/>
    <w:basedOn w:val="Normal"/>
    <w:next w:val="Normal"/>
    <w:link w:val="Titre2Car"/>
    <w:uiPriority w:val="9"/>
    <w:unhideWhenUsed/>
    <w:qFormat/>
    <w:rsid w:val="00BC611E"/>
    <w:pPr>
      <w:spacing w:before="240" w:after="240"/>
      <w:jc w:val="left"/>
      <w:outlineLvl w:val="1"/>
    </w:pPr>
    <w:rPr>
      <w:rFonts w:asciiTheme="majorHAnsi" w:hAnsiTheme="majorHAnsi"/>
      <w:b/>
      <w:caps/>
      <w:color w:val="EA1581" w:themeColor="accent2"/>
      <w:sz w:val="32"/>
      <w:u w:val="single"/>
    </w:rPr>
  </w:style>
  <w:style w:type="paragraph" w:styleId="Titre3">
    <w:name w:val="heading 3"/>
    <w:basedOn w:val="Normal"/>
    <w:next w:val="Normal"/>
    <w:link w:val="Titre3Car"/>
    <w:uiPriority w:val="9"/>
    <w:unhideWhenUsed/>
    <w:qFormat/>
    <w:rsid w:val="00BC611E"/>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unhideWhenUsed/>
    <w:qFormat/>
    <w:rsid w:val="00BC611E"/>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rsid w:val="004902A7"/>
    <w:rPr>
      <w:color w:val="8EC549" w:themeColor="hyperlink"/>
      <w:u w:val="single"/>
    </w:rPr>
  </w:style>
  <w:style w:type="paragraph" w:customStyle="1" w:styleId="Paragraphestandard">
    <w:name w:val="[Paragraphe standard]"/>
    <w:basedOn w:val="Normal"/>
    <w:uiPriority w:val="99"/>
    <w:rsid w:val="004902A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ansinterligne">
    <w:name w:val="No Spacing"/>
    <w:link w:val="SansinterligneCar"/>
    <w:uiPriority w:val="1"/>
    <w:qFormat/>
    <w:rsid w:val="00F34CB1"/>
    <w:rPr>
      <w:sz w:val="22"/>
      <w:szCs w:val="22"/>
    </w:rPr>
  </w:style>
  <w:style w:type="character" w:customStyle="1" w:styleId="SansinterligneCar">
    <w:name w:val="Sans interligne Car"/>
    <w:basedOn w:val="Policepardfaut"/>
    <w:link w:val="Sansinterligne"/>
    <w:uiPriority w:val="1"/>
    <w:rsid w:val="00F34CB1"/>
    <w:rPr>
      <w:sz w:val="22"/>
      <w:szCs w:val="22"/>
    </w:rPr>
  </w:style>
  <w:style w:type="paragraph" w:styleId="Titre">
    <w:name w:val="Title"/>
    <w:basedOn w:val="Sansinterligne"/>
    <w:next w:val="Normal"/>
    <w:link w:val="TitreCar"/>
    <w:uiPriority w:val="10"/>
    <w:qFormat/>
    <w:rsid w:val="00DA2669"/>
    <w:pPr>
      <w:framePr w:hSpace="187" w:wrap="around" w:vAnchor="page" w:hAnchor="page" w:x="2537" w:y="8706"/>
      <w:spacing w:line="216" w:lineRule="auto"/>
      <w:ind w:right="465"/>
    </w:pPr>
    <w:rPr>
      <w:rFonts w:asciiTheme="majorHAnsi" w:eastAsiaTheme="majorEastAsia" w:hAnsiTheme="majorHAnsi" w:cstheme="majorBidi"/>
      <w:b/>
      <w:color w:val="922C83"/>
      <w:sz w:val="144"/>
      <w:szCs w:val="144"/>
      <w14:textFill>
        <w14:gradFill>
          <w14:gsLst>
            <w14:gs w14:pos="18000">
              <w14:srgbClr w14:val="922C83"/>
            </w14:gs>
            <w14:gs w14:pos="100000">
              <w14:schemeClr w14:val="accent2"/>
            </w14:gs>
          </w14:gsLst>
          <w14:lin w14:ang="0" w14:scaled="0"/>
        </w14:gradFill>
      </w14:textFill>
    </w:rPr>
  </w:style>
  <w:style w:type="character" w:customStyle="1" w:styleId="TitreCar">
    <w:name w:val="Titre Car"/>
    <w:basedOn w:val="Policepardfaut"/>
    <w:link w:val="Titre"/>
    <w:uiPriority w:val="10"/>
    <w:rsid w:val="00DA2669"/>
    <w:rPr>
      <w:rFonts w:asciiTheme="majorHAnsi" w:eastAsiaTheme="majorEastAsia" w:hAnsiTheme="majorHAnsi" w:cstheme="majorBidi"/>
      <w:b/>
      <w:color w:val="922C83"/>
      <w:sz w:val="144"/>
      <w:szCs w:val="144"/>
      <w14:textFill>
        <w14:gradFill>
          <w14:gsLst>
            <w14:gs w14:pos="18000">
              <w14:srgbClr w14:val="922C83"/>
            </w14:gs>
            <w14:gs w14:pos="100000">
              <w14:schemeClr w14:val="accent2"/>
            </w14:gs>
          </w14:gsLst>
          <w14:lin w14:ang="0" w14:scaled="0"/>
        </w14:gradFill>
      </w14:textFill>
    </w:rPr>
  </w:style>
  <w:style w:type="paragraph" w:styleId="Citation">
    <w:name w:val="Quote"/>
    <w:basedOn w:val="Normal"/>
    <w:next w:val="Normal"/>
    <w:link w:val="CitationCar"/>
    <w:uiPriority w:val="29"/>
    <w:qFormat/>
    <w:rsid w:val="00CD2D63"/>
    <w:pPr>
      <w:framePr w:wrap="notBeside" w:vAnchor="text" w:hAnchor="text" w:y="1"/>
      <w:spacing w:before="200" w:after="160"/>
      <w:ind w:left="3544" w:right="851"/>
      <w:jc w:val="right"/>
    </w:pPr>
    <w:rPr>
      <w:i/>
      <w:iCs/>
      <w:color w:val="EA1581" w:themeColor="accent2"/>
      <w:sz w:val="28"/>
    </w:rPr>
  </w:style>
  <w:style w:type="character" w:customStyle="1" w:styleId="CitationCar">
    <w:name w:val="Citation Car"/>
    <w:basedOn w:val="Policepardfaut"/>
    <w:link w:val="Citation"/>
    <w:uiPriority w:val="29"/>
    <w:rsid w:val="00CD2D63"/>
    <w:rPr>
      <w:i/>
      <w:iCs/>
      <w:color w:val="EA1581" w:themeColor="accent2"/>
      <w:sz w:val="28"/>
    </w:rPr>
  </w:style>
  <w:style w:type="character" w:styleId="Accentuationlgre">
    <w:name w:val="Subtle Emphasis"/>
    <w:aliases w:val="Introduction"/>
    <w:uiPriority w:val="19"/>
    <w:qFormat/>
    <w:rsid w:val="005D441D"/>
    <w:rPr>
      <w:b/>
      <w:i/>
      <w:sz w:val="24"/>
    </w:rPr>
  </w:style>
  <w:style w:type="character" w:customStyle="1" w:styleId="Titre1Car">
    <w:name w:val="Titre 1 Car"/>
    <w:basedOn w:val="Policepardfaut"/>
    <w:link w:val="Titre1"/>
    <w:uiPriority w:val="9"/>
    <w:rsid w:val="00BC611E"/>
    <w:rPr>
      <w:rFonts w:asciiTheme="majorHAnsi" w:hAnsiTheme="majorHAnsi"/>
      <w:b/>
      <w:caps/>
      <w:color w:val="922C83"/>
      <w:sz w:val="52"/>
      <w:szCs w:val="52"/>
    </w:rPr>
  </w:style>
  <w:style w:type="character" w:customStyle="1" w:styleId="Titre2Car">
    <w:name w:val="Titre 2 Car"/>
    <w:basedOn w:val="Policepardfaut"/>
    <w:link w:val="Titre2"/>
    <w:uiPriority w:val="9"/>
    <w:rsid w:val="00BC611E"/>
    <w:rPr>
      <w:rFonts w:asciiTheme="majorHAnsi" w:hAnsiTheme="majorHAnsi"/>
      <w:b/>
      <w:caps/>
      <w:color w:val="EA1581" w:themeColor="accent2"/>
      <w:sz w:val="32"/>
      <w:u w:val="single"/>
    </w:rPr>
  </w:style>
  <w:style w:type="character" w:customStyle="1" w:styleId="Titre3Car">
    <w:name w:val="Titre 3 Car"/>
    <w:basedOn w:val="Policepardfaut"/>
    <w:link w:val="Titre3"/>
    <w:uiPriority w:val="9"/>
    <w:rsid w:val="00BC611E"/>
    <w:rPr>
      <w:rFonts w:asciiTheme="majorHAnsi" w:hAnsiTheme="majorHAnsi"/>
      <w:b/>
      <w:caps/>
      <w:sz w:val="28"/>
    </w:rPr>
  </w:style>
  <w:style w:type="character" w:customStyle="1" w:styleId="Titre4Car">
    <w:name w:val="Titre 4 Car"/>
    <w:basedOn w:val="Policepardfaut"/>
    <w:link w:val="Titre4"/>
    <w:uiPriority w:val="9"/>
    <w:rsid w:val="00BC611E"/>
    <w:rPr>
      <w:rFonts w:asciiTheme="majorHAnsi" w:hAnsiTheme="majorHAnsi"/>
      <w:b/>
    </w:rPr>
  </w:style>
  <w:style w:type="paragraph" w:styleId="Sous-titre">
    <w:name w:val="Subtitle"/>
    <w:basedOn w:val="Sansinterligne"/>
    <w:next w:val="Normal"/>
    <w:link w:val="Sous-titreCar"/>
    <w:uiPriority w:val="11"/>
    <w:qFormat/>
    <w:rsid w:val="00CD2D63"/>
    <w:pPr>
      <w:framePr w:hSpace="187" w:wrap="around" w:vAnchor="page" w:hAnchor="page" w:x="2537" w:y="8706"/>
    </w:pPr>
    <w:rPr>
      <w:caps/>
      <w:color w:val="922C83"/>
      <w:sz w:val="24"/>
      <w:szCs w:val="24"/>
    </w:rPr>
  </w:style>
  <w:style w:type="character" w:customStyle="1" w:styleId="Sous-titreCar">
    <w:name w:val="Sous-titre Car"/>
    <w:basedOn w:val="Policepardfaut"/>
    <w:link w:val="Sous-titre"/>
    <w:uiPriority w:val="11"/>
    <w:rsid w:val="00CD2D63"/>
    <w:rPr>
      <w:caps/>
      <w:color w:val="922C83"/>
    </w:rPr>
  </w:style>
  <w:style w:type="paragraph" w:styleId="Paragraphedeliste">
    <w:name w:val="List Paragraph"/>
    <w:aliases w:val="Réponse"/>
    <w:basedOn w:val="Normal"/>
    <w:link w:val="ParagraphedelisteCar"/>
    <w:uiPriority w:val="34"/>
    <w:qFormat/>
    <w:rsid w:val="00791375"/>
    <w:pPr>
      <w:ind w:left="720"/>
      <w:contextualSpacing/>
    </w:pPr>
  </w:style>
  <w:style w:type="paragraph" w:customStyle="1" w:styleId="Puceniveau1">
    <w:name w:val="Puce niveau 1"/>
    <w:basedOn w:val="Paragraphedeliste"/>
    <w:link w:val="Puceniveau1Car"/>
    <w:qFormat/>
    <w:rsid w:val="00E52FAA"/>
    <w:pPr>
      <w:numPr>
        <w:numId w:val="1"/>
      </w:numPr>
      <w:ind w:left="709" w:hanging="425"/>
    </w:pPr>
  </w:style>
  <w:style w:type="paragraph" w:customStyle="1" w:styleId="Puceniveau2">
    <w:name w:val="Puce niveau 2"/>
    <w:basedOn w:val="Puceniveau1"/>
    <w:link w:val="Puceniveau2Car"/>
    <w:qFormat/>
    <w:rsid w:val="00597CB0"/>
    <w:pPr>
      <w:ind w:left="993" w:hanging="426"/>
    </w:pPr>
  </w:style>
  <w:style w:type="character" w:customStyle="1" w:styleId="ParagraphedelisteCar">
    <w:name w:val="Paragraphe de liste Car"/>
    <w:aliases w:val="Réponse Car"/>
    <w:basedOn w:val="Policepardfaut"/>
    <w:link w:val="Paragraphedeliste"/>
    <w:uiPriority w:val="34"/>
    <w:rsid w:val="00E52FAA"/>
    <w:rPr>
      <w:rFonts w:ascii="Trebuchet MS" w:hAnsi="Trebuchet MS"/>
      <w:sz w:val="22"/>
    </w:rPr>
  </w:style>
  <w:style w:type="character" w:customStyle="1" w:styleId="Puceniveau1Car">
    <w:name w:val="Puce niveau 1 Car"/>
    <w:basedOn w:val="ParagraphedelisteCar"/>
    <w:link w:val="Puceniveau1"/>
    <w:rsid w:val="00E52FAA"/>
    <w:rPr>
      <w:rFonts w:ascii="Trebuchet MS" w:hAnsi="Trebuchet MS"/>
      <w:sz w:val="22"/>
    </w:rPr>
  </w:style>
  <w:style w:type="paragraph" w:customStyle="1" w:styleId="Puceniveau3">
    <w:name w:val="Puce niveau 3"/>
    <w:basedOn w:val="Puceniveau2"/>
    <w:link w:val="Puceniveau3Car"/>
    <w:qFormat/>
    <w:rsid w:val="00597CB0"/>
    <w:pPr>
      <w:numPr>
        <w:numId w:val="2"/>
      </w:numPr>
      <w:ind w:left="1276" w:hanging="425"/>
    </w:pPr>
    <w:rPr>
      <w:i/>
    </w:rPr>
  </w:style>
  <w:style w:type="character" w:customStyle="1" w:styleId="Puceniveau2Car">
    <w:name w:val="Puce niveau 2 Car"/>
    <w:basedOn w:val="Puceniveau1Car"/>
    <w:link w:val="Puceniveau2"/>
    <w:rsid w:val="00597CB0"/>
    <w:rPr>
      <w:rFonts w:ascii="Trebuchet MS" w:hAnsi="Trebuchet MS"/>
      <w:sz w:val="22"/>
    </w:rPr>
  </w:style>
  <w:style w:type="paragraph" w:customStyle="1" w:styleId="Puceniveau4">
    <w:name w:val="Puce niveau 4"/>
    <w:basedOn w:val="Paragraphedeliste"/>
    <w:link w:val="Puceniveau4Car"/>
    <w:qFormat/>
    <w:rsid w:val="00485D01"/>
    <w:pPr>
      <w:numPr>
        <w:numId w:val="4"/>
      </w:numPr>
      <w:ind w:left="1560"/>
    </w:pPr>
    <w:rPr>
      <w:i/>
      <w:color w:val="939598" w:themeColor="background2"/>
      <w:sz w:val="20"/>
    </w:rPr>
  </w:style>
  <w:style w:type="character" w:customStyle="1" w:styleId="Puceniveau3Car">
    <w:name w:val="Puce niveau 3 Car"/>
    <w:basedOn w:val="Puceniveau2Car"/>
    <w:link w:val="Puceniveau3"/>
    <w:rsid w:val="00597CB0"/>
    <w:rPr>
      <w:rFonts w:ascii="Trebuchet MS" w:hAnsi="Trebuchet MS"/>
      <w:i/>
      <w:sz w:val="22"/>
    </w:rPr>
  </w:style>
  <w:style w:type="paragraph" w:customStyle="1" w:styleId="Encadr">
    <w:name w:val="Encadré"/>
    <w:basedOn w:val="Normal"/>
    <w:link w:val="EncadrCar"/>
    <w:qFormat/>
    <w:rsid w:val="00CD2D63"/>
    <w:pPr>
      <w:keepNext/>
      <w:framePr w:w="4536" w:h="4536" w:hSpace="1134" w:vSpace="284" w:wrap="around" w:vAnchor="text" w:hAnchor="text" w:xAlign="inside" w:y="1"/>
      <w:shd w:val="solid" w:color="EA1581" w:themeColor="accent2" w:fill="EA1581" w:themeFill="accent2"/>
      <w:suppressAutoHyphens/>
      <w:ind w:left="113" w:right="113"/>
      <w:jc w:val="center"/>
      <w:textboxTightWrap w:val="firstAndLastLine"/>
    </w:pPr>
    <w:rPr>
      <w:color w:val="FFFFFF" w:themeColor="background1"/>
    </w:rPr>
  </w:style>
  <w:style w:type="character" w:customStyle="1" w:styleId="Puceniveau4Car">
    <w:name w:val="Puce niveau 4 Car"/>
    <w:basedOn w:val="ParagraphedelisteCar"/>
    <w:link w:val="Puceniveau4"/>
    <w:rsid w:val="00485D01"/>
    <w:rPr>
      <w:rFonts w:ascii="Trebuchet MS" w:hAnsi="Trebuchet MS"/>
      <w:i/>
      <w:color w:val="939598" w:themeColor="background2"/>
      <w:sz w:val="20"/>
    </w:rPr>
  </w:style>
  <w:style w:type="paragraph" w:customStyle="1" w:styleId="Encadr2">
    <w:name w:val="Encadré 2"/>
    <w:basedOn w:val="Normal"/>
    <w:link w:val="Encadr2Car"/>
    <w:qFormat/>
    <w:rsid w:val="00CD2D63"/>
    <w:pPr>
      <w:framePr w:w="8789" w:h="1134" w:wrap="around" w:vAnchor="text" w:hAnchor="text" w:y="1"/>
      <w:shd w:val="solid" w:color="EA1581" w:themeColor="accent2" w:fill="EA1581" w:themeFill="accent2"/>
      <w:jc w:val="left"/>
    </w:pPr>
    <w:rPr>
      <w:b/>
      <w:color w:val="FFFFFF" w:themeColor="background1"/>
      <w:sz w:val="96"/>
    </w:rPr>
  </w:style>
  <w:style w:type="character" w:customStyle="1" w:styleId="EncadrCar">
    <w:name w:val="Encadré Car"/>
    <w:basedOn w:val="Policepardfaut"/>
    <w:link w:val="Encadr"/>
    <w:rsid w:val="00CD2D63"/>
    <w:rPr>
      <w:color w:val="FFFFFF" w:themeColor="background1"/>
      <w:sz w:val="22"/>
      <w:shd w:val="solid" w:color="EA1581" w:themeColor="accent2" w:fill="EA1581" w:themeFill="accent2"/>
    </w:rPr>
  </w:style>
  <w:style w:type="character" w:customStyle="1" w:styleId="Encadr2Car">
    <w:name w:val="Encadré 2 Car"/>
    <w:basedOn w:val="Policepardfaut"/>
    <w:link w:val="Encadr2"/>
    <w:rsid w:val="00CD2D63"/>
    <w:rPr>
      <w:b/>
      <w:color w:val="FFFFFF" w:themeColor="background1"/>
      <w:sz w:val="96"/>
      <w:shd w:val="solid" w:color="EA1581" w:themeColor="accent2" w:fill="EA1581" w:themeFill="accent2"/>
    </w:rPr>
  </w:style>
  <w:style w:type="paragraph" w:customStyle="1" w:styleId="western">
    <w:name w:val="western"/>
    <w:basedOn w:val="Normal"/>
    <w:rsid w:val="00AE04F8"/>
    <w:pPr>
      <w:spacing w:before="100" w:beforeAutospacing="1" w:after="142" w:line="276" w:lineRule="auto"/>
    </w:pPr>
    <w:rPr>
      <w:rFonts w:ascii="Verdana" w:eastAsia="Times New Roman" w:hAnsi="Verdana" w:cs="Times New Roman"/>
      <w:color w:val="00000A"/>
      <w:szCs w:val="22"/>
    </w:rPr>
  </w:style>
  <w:style w:type="table" w:styleId="Grilledutableau">
    <w:name w:val="Table Grid"/>
    <w:basedOn w:val="TableauNormal"/>
    <w:uiPriority w:val="39"/>
    <w:rsid w:val="00EE1A00"/>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75256"/>
    <w:rPr>
      <w:sz w:val="20"/>
      <w:szCs w:val="20"/>
    </w:rPr>
  </w:style>
  <w:style w:type="character" w:customStyle="1" w:styleId="NotedebasdepageCar">
    <w:name w:val="Note de bas de page Car"/>
    <w:basedOn w:val="Policepardfaut"/>
    <w:link w:val="Notedebasdepage"/>
    <w:uiPriority w:val="99"/>
    <w:semiHidden/>
    <w:rsid w:val="00D75256"/>
    <w:rPr>
      <w:sz w:val="20"/>
      <w:szCs w:val="20"/>
    </w:rPr>
  </w:style>
  <w:style w:type="character" w:styleId="Appelnotedebasdep">
    <w:name w:val="footnote reference"/>
    <w:basedOn w:val="Policepardfaut"/>
    <w:uiPriority w:val="99"/>
    <w:semiHidden/>
    <w:unhideWhenUsed/>
    <w:rsid w:val="00D75256"/>
    <w:rPr>
      <w:vertAlign w:val="superscript"/>
    </w:rPr>
  </w:style>
  <w:style w:type="paragraph" w:styleId="NormalWeb">
    <w:name w:val="Normal (Web)"/>
    <w:basedOn w:val="Normal"/>
    <w:uiPriority w:val="99"/>
    <w:semiHidden/>
    <w:unhideWhenUsed/>
    <w:rsid w:val="00785017"/>
    <w:pPr>
      <w:spacing w:before="100" w:beforeAutospacing="1" w:after="100" w:afterAutospacing="1"/>
      <w:ind w:left="0"/>
      <w:jc w:val="left"/>
    </w:pPr>
    <w:rPr>
      <w:rFonts w:ascii="Times" w:hAnsi="Times" w:cs="Times New Roman"/>
      <w:sz w:val="20"/>
      <w:szCs w:val="20"/>
    </w:rPr>
  </w:style>
  <w:style w:type="character" w:customStyle="1" w:styleId="apple-converted-space">
    <w:name w:val="apple-converted-space"/>
    <w:basedOn w:val="Policepardfaut"/>
    <w:rsid w:val="0078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ezier\Institut%20de%20l'entreprise\Commun%20-%20Documents\Identit&#233;%20visuelle%202018\Bureautique\PEE\Word\PEE%20-%20V1.1.dotm" TargetMode="External"/></Relationships>
</file>

<file path=word/theme/theme1.xml><?xml version="1.0" encoding="utf-8"?>
<a:theme xmlns:a="http://schemas.openxmlformats.org/drawingml/2006/main" name="INSTITUT DE L'ENTREPRISE">
  <a:themeElements>
    <a:clrScheme name="Institut de l'entreprise">
      <a:dk1>
        <a:sysClr val="windowText" lastClr="000000"/>
      </a:dk1>
      <a:lt1>
        <a:sysClr val="window" lastClr="FFFFFF"/>
      </a:lt1>
      <a:dk2>
        <a:srgbClr val="0C509F"/>
      </a:dk2>
      <a:lt2>
        <a:srgbClr val="939598"/>
      </a:lt2>
      <a:accent1>
        <a:srgbClr val="0C509F"/>
      </a:accent1>
      <a:accent2>
        <a:srgbClr val="EA1581"/>
      </a:accent2>
      <a:accent3>
        <a:srgbClr val="20B050"/>
      </a:accent3>
      <a:accent4>
        <a:srgbClr val="0068B0"/>
      </a:accent4>
      <a:accent5>
        <a:srgbClr val="00B4ED"/>
      </a:accent5>
      <a:accent6>
        <a:srgbClr val="FCB731"/>
      </a:accent6>
      <a:hlink>
        <a:srgbClr val="8EC549"/>
      </a:hlink>
      <a:folHlink>
        <a:srgbClr val="F38230"/>
      </a:folHlink>
    </a:clrScheme>
    <a:fontScheme name="Institut de l'Entreprise">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FFF40C0069A4D9655A9A027144DC4" ma:contentTypeVersion="10" ma:contentTypeDescription="Crée un document." ma:contentTypeScope="" ma:versionID="70527617b91f73e8d7467751767b035c">
  <xsd:schema xmlns:xsd="http://www.w3.org/2001/XMLSchema" xmlns:xs="http://www.w3.org/2001/XMLSchema" xmlns:p="http://schemas.microsoft.com/office/2006/metadata/properties" xmlns:ns2="56ddd2ae-0239-4687-b282-55f3ed7a959a" xmlns:ns3="0c6675b0-729b-48d4-9f82-0a71e1e2ee9a" targetNamespace="http://schemas.microsoft.com/office/2006/metadata/properties" ma:root="true" ma:fieldsID="34b3d4b009a5930ff3c007db48e7e65a" ns2:_="" ns3:_="">
    <xsd:import namespace="56ddd2ae-0239-4687-b282-55f3ed7a959a"/>
    <xsd:import namespace="0c6675b0-729b-48d4-9f82-0a71e1e2e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d2ae-0239-4687-b282-55f3ed7a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75b0-729b-48d4-9f82-0a71e1e2ee9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97A80C-C599-487A-86CD-6FB7509B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dd2ae-0239-4687-b282-55f3ed7a959a"/>
    <ds:schemaRef ds:uri="0c6675b0-729b-48d4-9f82-0a71e1e2e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8DF3D-AA3D-4338-9404-7E96700D4B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E6F2A-95BC-4807-95A4-D0B4A1D24B8C}">
  <ds:schemaRefs>
    <ds:schemaRef ds:uri="http://schemas.microsoft.com/sharepoint/v3/contenttype/forms"/>
  </ds:schemaRefs>
</ds:datastoreItem>
</file>

<file path=customXml/itemProps5.xml><?xml version="1.0" encoding="utf-8"?>
<ds:datastoreItem xmlns:ds="http://schemas.openxmlformats.org/officeDocument/2006/customXml" ds:itemID="{8EC61BE9-62D2-4A07-A391-61339B10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PEE - V1.1</Template>
  <TotalTime>0</TotalTime>
  <Pages>3</Pages>
  <Words>1029</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TITRE DU DOCUMENT</vt:lpstr>
    </vt:vector>
  </TitlesOfParts>
  <Company>INSTITUT DE L’ENTREPRISE</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SOUS-TITRE DU DOCUMENT</dc:subject>
  <dc:creator>François Vezier</dc:creator>
  <cp:keywords/>
  <dc:description/>
  <cp:lastModifiedBy>François Vezier</cp:lastModifiedBy>
  <cp:revision>2</cp:revision>
  <cp:lastPrinted>2018-06-06T15:05:00Z</cp:lastPrinted>
  <dcterms:created xsi:type="dcterms:W3CDTF">2019-10-08T09:41:00Z</dcterms:created>
  <dcterms:modified xsi:type="dcterms:W3CDTF">2019-10-08T09:41:00Z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0x01010005EFFF40C0069A4D9655A9A027144DC4</vt:lpwstr>
  </property>
</Properties>
</file>