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13" w:rsidRPr="00D14013" w:rsidRDefault="00D14013" w:rsidP="00D14013">
      <w:pPr>
        <w:spacing w:after="0"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La prévision économique</w:t>
      </w:r>
    </w:p>
    <w:p w:rsidR="00D14013" w:rsidRPr="00D14013" w:rsidRDefault="00D14013" w:rsidP="00D14013">
      <w:pPr>
        <w:spacing w:before="100" w:beforeAutospacing="1" w:after="100" w:afterAutospacing="1"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 xml:space="preserve">La prévision est une discipline qui vise à </w:t>
      </w:r>
      <w:r w:rsidRPr="00D14013">
        <w:rPr>
          <w:rFonts w:ascii="Times New Roman" w:eastAsia="Times New Roman" w:hAnsi="Times New Roman" w:cs="Times New Roman"/>
          <w:b/>
          <w:bCs/>
          <w:sz w:val="24"/>
          <w:szCs w:val="24"/>
          <w:lang w:eastAsia="fr-FR"/>
        </w:rPr>
        <w:t>apprécier la situation économique actuelle ou future d’une branche d’activité, d’une région, d’un pays voire du monde entier</w:t>
      </w:r>
      <w:r w:rsidRPr="00D14013">
        <w:rPr>
          <w:rFonts w:ascii="Times New Roman" w:eastAsia="Times New Roman" w:hAnsi="Times New Roman" w:cs="Times New Roman"/>
          <w:sz w:val="24"/>
          <w:szCs w:val="24"/>
          <w:lang w:eastAsia="fr-FR"/>
        </w:rPr>
        <w:t xml:space="preserve">. Pour y parvenir, les prévisionnistes cherchent à déterminer la valeur, à l’instant présent ou dans un avenir plus ou moins proche, </w:t>
      </w:r>
      <w:hyperlink r:id="rId4" w:tgtFrame="_blank" w:tooltip="Sabbar.fr | L'appréciation de la situation économique" w:history="1">
        <w:r w:rsidRPr="00D14013">
          <w:rPr>
            <w:rFonts w:ascii="Times New Roman" w:eastAsia="Times New Roman" w:hAnsi="Times New Roman" w:cs="Times New Roman"/>
            <w:color w:val="0000FF"/>
            <w:sz w:val="24"/>
            <w:szCs w:val="24"/>
            <w:u w:val="single"/>
            <w:lang w:eastAsia="fr-FR"/>
          </w:rPr>
          <w:t>de différentes variables telles que la croissance</w:t>
        </w:r>
      </w:hyperlink>
      <w:r w:rsidRPr="00D14013">
        <w:rPr>
          <w:rFonts w:ascii="Times New Roman" w:eastAsia="Times New Roman" w:hAnsi="Times New Roman" w:cs="Times New Roman"/>
          <w:sz w:val="24"/>
          <w:szCs w:val="24"/>
          <w:lang w:eastAsia="fr-FR"/>
        </w:rPr>
        <w:t xml:space="preserve">, l’inflation, le chômage ou encore les taux d’intérêt. La prévision n’est pas une science exacte. Il est par exemple </w:t>
      </w:r>
      <w:r w:rsidRPr="00D14013">
        <w:rPr>
          <w:rFonts w:ascii="Times New Roman" w:eastAsia="Times New Roman" w:hAnsi="Times New Roman" w:cs="Times New Roman"/>
          <w:b/>
          <w:bCs/>
          <w:sz w:val="24"/>
          <w:szCs w:val="24"/>
          <w:lang w:eastAsia="fr-FR"/>
        </w:rPr>
        <w:t>impossible de prévoir les chocs exogènes</w:t>
      </w:r>
      <w:r w:rsidRPr="00D14013">
        <w:rPr>
          <w:rFonts w:ascii="Times New Roman" w:eastAsia="Times New Roman" w:hAnsi="Times New Roman" w:cs="Times New Roman"/>
          <w:sz w:val="24"/>
          <w:szCs w:val="24"/>
          <w:lang w:eastAsia="fr-FR"/>
        </w:rPr>
        <w:t>, c’est-à-dire extérieurs à l’activité économique. En novembre 2019, soit avant la pandémie de coronavirus, l’OCDE, qui réunit 37 pays parmi les plus développés du monde, estimait ainsi que la croissance mondiale progresserait de 2,9 % en 2020. En septembre, elle prévoyait finalement un recul du PIB mondial de 4,5 % cette année.</w:t>
      </w:r>
    </w:p>
    <w:p w:rsidR="00D14013" w:rsidRPr="00D14013" w:rsidRDefault="00D14013" w:rsidP="00D14013">
      <w:pPr>
        <w:spacing w:after="0"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Des cycles aux indicateurs avancés</w:t>
      </w:r>
    </w:p>
    <w:p w:rsidR="00D14013" w:rsidRPr="00D14013" w:rsidRDefault="00D14013" w:rsidP="00D14013">
      <w:pPr>
        <w:spacing w:before="100" w:beforeAutospacing="1" w:after="100" w:afterAutospacing="1"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 xml:space="preserve">La prévision économique repose sur diverses méthodes, comme </w:t>
      </w:r>
      <w:r w:rsidRPr="00D14013">
        <w:rPr>
          <w:rFonts w:ascii="Times New Roman" w:eastAsia="Times New Roman" w:hAnsi="Times New Roman" w:cs="Times New Roman"/>
          <w:b/>
          <w:bCs/>
          <w:sz w:val="24"/>
          <w:szCs w:val="24"/>
          <w:lang w:eastAsia="fr-FR"/>
        </w:rPr>
        <w:t>l’étude des indicateurs avancés</w:t>
      </w:r>
      <w:r w:rsidRPr="00D14013">
        <w:rPr>
          <w:rFonts w:ascii="Times New Roman" w:eastAsia="Times New Roman" w:hAnsi="Times New Roman" w:cs="Times New Roman"/>
          <w:sz w:val="24"/>
          <w:szCs w:val="24"/>
          <w:lang w:eastAsia="fr-FR"/>
        </w:rPr>
        <w:t>. Au XIX</w:t>
      </w:r>
      <w:r w:rsidRPr="00D14013">
        <w:rPr>
          <w:rFonts w:ascii="Times New Roman" w:eastAsia="Times New Roman" w:hAnsi="Times New Roman" w:cs="Times New Roman"/>
          <w:sz w:val="24"/>
          <w:szCs w:val="24"/>
          <w:vertAlign w:val="superscript"/>
          <w:lang w:eastAsia="fr-FR"/>
        </w:rPr>
        <w:t>e</w:t>
      </w:r>
      <w:r w:rsidRPr="00D14013">
        <w:rPr>
          <w:rFonts w:ascii="Times New Roman" w:eastAsia="Times New Roman" w:hAnsi="Times New Roman" w:cs="Times New Roman"/>
          <w:sz w:val="24"/>
          <w:szCs w:val="24"/>
          <w:lang w:eastAsia="fr-FR"/>
        </w:rPr>
        <w:t xml:space="preserve"> siècle, des économistes tels que le Français Clément Juglar commencent à étudier la </w:t>
      </w:r>
      <w:hyperlink r:id="rId5" w:tgtFrame="_blank" w:tooltip="Brief.eco | Les cycles économiques" w:history="1">
        <w:r w:rsidRPr="00D14013">
          <w:rPr>
            <w:rFonts w:ascii="Times New Roman" w:eastAsia="Times New Roman" w:hAnsi="Times New Roman" w:cs="Times New Roman"/>
            <w:color w:val="0000FF"/>
            <w:sz w:val="24"/>
            <w:szCs w:val="24"/>
            <w:u w:val="single"/>
            <w:lang w:eastAsia="fr-FR"/>
          </w:rPr>
          <w:t>nature cyclique de l’économie</w:t>
        </w:r>
      </w:hyperlink>
      <w:r w:rsidRPr="00D14013">
        <w:rPr>
          <w:rFonts w:ascii="Times New Roman" w:eastAsia="Times New Roman" w:hAnsi="Times New Roman" w:cs="Times New Roman"/>
          <w:sz w:val="24"/>
          <w:szCs w:val="24"/>
          <w:lang w:eastAsia="fr-FR"/>
        </w:rPr>
        <w:t>, c’est-à-dire l’alternance régulière entre les phases d’expansion et de contraction. Au début du XX</w:t>
      </w:r>
      <w:r w:rsidRPr="00D14013">
        <w:rPr>
          <w:rFonts w:ascii="Times New Roman" w:eastAsia="Times New Roman" w:hAnsi="Times New Roman" w:cs="Times New Roman"/>
          <w:sz w:val="24"/>
          <w:szCs w:val="24"/>
          <w:vertAlign w:val="superscript"/>
          <w:lang w:eastAsia="fr-FR"/>
        </w:rPr>
        <w:t>e</w:t>
      </w:r>
      <w:r w:rsidRPr="00D14013">
        <w:rPr>
          <w:rFonts w:ascii="Times New Roman" w:eastAsia="Times New Roman" w:hAnsi="Times New Roman" w:cs="Times New Roman"/>
          <w:sz w:val="24"/>
          <w:szCs w:val="24"/>
          <w:lang w:eastAsia="fr-FR"/>
        </w:rPr>
        <w:t xml:space="preserve"> siècle, la recherche sur le cycle économique quitte le champ de la théorie pour se concentrer sur les statistiques, rappelle l’économiste québécois Christian Deblock dans une étude publiée en 2000. En 1938, les économistes américains Arthur Burns et Wesley Mitchell publient un rapport dans lequel ils déterminent </w:t>
      </w:r>
      <w:r w:rsidRPr="00D14013">
        <w:rPr>
          <w:rFonts w:ascii="Times New Roman" w:eastAsia="Times New Roman" w:hAnsi="Times New Roman" w:cs="Times New Roman"/>
          <w:b/>
          <w:bCs/>
          <w:sz w:val="24"/>
          <w:szCs w:val="24"/>
          <w:lang w:eastAsia="fr-FR"/>
        </w:rPr>
        <w:t>les statistiques à suivre pour prévoir les fluctuations à venir</w:t>
      </w:r>
      <w:r w:rsidRPr="00D14013">
        <w:rPr>
          <w:rFonts w:ascii="Times New Roman" w:eastAsia="Times New Roman" w:hAnsi="Times New Roman" w:cs="Times New Roman"/>
          <w:sz w:val="24"/>
          <w:szCs w:val="24"/>
          <w:lang w:eastAsia="fr-FR"/>
        </w:rPr>
        <w:t>. C’est la naissance des « indicateurs avancés » mis au point par les organismes de statistiques. Par exemple, l’institut français de statistiques Insee publie chaque mois un indicateur synthétique de confiance des ménages qui étudie leur opinion sur leur environnement économique. Cet indicateur est prédictif de leurs comportements en matière de consommation et d’épargne.</w:t>
      </w:r>
    </w:p>
    <w:p w:rsidR="00D14013" w:rsidRPr="00D14013" w:rsidRDefault="00D14013" w:rsidP="00D14013">
      <w:pPr>
        <w:spacing w:after="0"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5</w:t>
      </w:r>
    </w:p>
    <w:p w:rsidR="00D14013" w:rsidRPr="00D14013" w:rsidRDefault="00D14013" w:rsidP="00D14013">
      <w:pPr>
        <w:spacing w:after="0"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milliards d’euros</w:t>
      </w:r>
    </w:p>
    <w:p w:rsidR="00D14013" w:rsidRPr="00D14013" w:rsidRDefault="00D14013" w:rsidP="00D14013">
      <w:pPr>
        <w:spacing w:after="0"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pict>
          <v:rect id="_x0000_i1025" style="width:0;height:1.5pt" o:hralign="center" o:hrstd="t" o:hr="t" fillcolor="#a0a0a0" stroked="f"/>
        </w:pict>
      </w:r>
    </w:p>
    <w:p w:rsidR="00D14013" w:rsidRPr="00D14013" w:rsidRDefault="00D14013" w:rsidP="00D14013">
      <w:pPr>
        <w:spacing w:before="100" w:beforeAutospacing="1" w:after="100" w:afterAutospacing="1"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 xml:space="preserve">Dans un </w:t>
      </w:r>
      <w:hyperlink r:id="rId6" w:tgtFrame="_blank" w:tooltip="Cour des comptes | La situation et les perspectives des finances publiques" w:history="1">
        <w:r w:rsidRPr="00D14013">
          <w:rPr>
            <w:rFonts w:ascii="Times New Roman" w:eastAsia="Times New Roman" w:hAnsi="Times New Roman" w:cs="Times New Roman"/>
            <w:color w:val="0000FF"/>
            <w:sz w:val="24"/>
            <w:szCs w:val="24"/>
            <w:u w:val="single"/>
            <w:lang w:eastAsia="fr-FR"/>
          </w:rPr>
          <w:t>rapport publié en 2014 [PDF]</w:t>
        </w:r>
      </w:hyperlink>
      <w:r w:rsidRPr="00D14013">
        <w:rPr>
          <w:rFonts w:ascii="Times New Roman" w:eastAsia="Times New Roman" w:hAnsi="Times New Roman" w:cs="Times New Roman"/>
          <w:sz w:val="24"/>
          <w:szCs w:val="24"/>
          <w:lang w:eastAsia="fr-FR"/>
        </w:rPr>
        <w:t xml:space="preserve">, la Cour des comptes, chargée du contrôle de la dépense publique, a calculé que dans les projets de lois de finances, les prévisions de croissance ont conduit à surestimer le produit des prélèvements obligatoires d’environ 5 milliards d’euros par an sur la période 2003-2013 (hors 2009). </w:t>
      </w:r>
      <w:r w:rsidRPr="00D14013">
        <w:rPr>
          <w:rFonts w:ascii="Times New Roman" w:eastAsia="Times New Roman" w:hAnsi="Times New Roman" w:cs="Times New Roman"/>
          <w:b/>
          <w:bCs/>
          <w:sz w:val="24"/>
          <w:szCs w:val="24"/>
          <w:lang w:eastAsia="fr-FR"/>
        </w:rPr>
        <w:t>« Il existait donc un biais optimiste des prévisions macroéconomiques du gouvernement »</w:t>
      </w:r>
      <w:r w:rsidRPr="00D14013">
        <w:rPr>
          <w:rFonts w:ascii="Times New Roman" w:eastAsia="Times New Roman" w:hAnsi="Times New Roman" w:cs="Times New Roman"/>
          <w:sz w:val="24"/>
          <w:szCs w:val="24"/>
          <w:lang w:eastAsia="fr-FR"/>
        </w:rPr>
        <w:t>, estime sur son site l’économiste François Ecalle, spécialiste des finances publiques. Selon lui, la création en 2012 du Haut Conseil des finances publiques a contribué à l’amélioration des prévisions, « celles-ci étant plus proches de la croissance finalement constatée sur la période 2014-2018 ».</w:t>
      </w:r>
    </w:p>
    <w:p w:rsidR="00D14013" w:rsidRPr="00D14013" w:rsidRDefault="00D14013" w:rsidP="00D14013">
      <w:pPr>
        <w:spacing w:after="0"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La modélisation macroéconomique</w:t>
      </w:r>
    </w:p>
    <w:p w:rsidR="00D14013" w:rsidRPr="00D14013" w:rsidRDefault="00D14013" w:rsidP="00D14013">
      <w:pPr>
        <w:spacing w:before="100" w:beforeAutospacing="1" w:after="100" w:afterAutospacing="1"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 xml:space="preserve">Pour effectuer des prévisions, les économistes recourent aussi à </w:t>
      </w:r>
      <w:r w:rsidRPr="00D14013">
        <w:rPr>
          <w:rFonts w:ascii="Times New Roman" w:eastAsia="Times New Roman" w:hAnsi="Times New Roman" w:cs="Times New Roman"/>
          <w:b/>
          <w:bCs/>
          <w:sz w:val="24"/>
          <w:szCs w:val="24"/>
          <w:lang w:eastAsia="fr-FR"/>
        </w:rPr>
        <w:t>la modélisation macroéconomique, en s’appuyant sur des modèles économétriques</w:t>
      </w:r>
      <w:r w:rsidRPr="00D14013">
        <w:rPr>
          <w:rFonts w:ascii="Times New Roman" w:eastAsia="Times New Roman" w:hAnsi="Times New Roman" w:cs="Times New Roman"/>
          <w:sz w:val="24"/>
          <w:szCs w:val="24"/>
          <w:lang w:eastAsia="fr-FR"/>
        </w:rPr>
        <w:t xml:space="preserve">. Un tel modèle est une sorte de maquette simplifiée de la réalité économique, obtenue à partir d’équations mathématiques. Il existe de très nombreux modèles. Par exemple, l’Insee et la direction générale du Trésor, une branche du ministère de l’Économie, ont créé </w:t>
      </w:r>
      <w:hyperlink r:id="rId7" w:tgtFrame="_blank" w:tooltip="Insee | Le modèle de simulation macroéconomique Mésange" w:history="1">
        <w:r w:rsidRPr="00D14013">
          <w:rPr>
            <w:rFonts w:ascii="Times New Roman" w:eastAsia="Times New Roman" w:hAnsi="Times New Roman" w:cs="Times New Roman"/>
            <w:color w:val="0000FF"/>
            <w:sz w:val="24"/>
            <w:szCs w:val="24"/>
            <w:u w:val="single"/>
            <w:lang w:eastAsia="fr-FR"/>
          </w:rPr>
          <w:t>le modèle Mésange</w:t>
        </w:r>
      </w:hyperlink>
      <w:r w:rsidRPr="00D14013">
        <w:rPr>
          <w:rFonts w:ascii="Times New Roman" w:eastAsia="Times New Roman" w:hAnsi="Times New Roman" w:cs="Times New Roman"/>
          <w:sz w:val="24"/>
          <w:szCs w:val="24"/>
          <w:lang w:eastAsia="fr-FR"/>
        </w:rPr>
        <w:t xml:space="preserve">. Il s’agit d’une </w:t>
      </w:r>
      <w:r w:rsidRPr="00D14013">
        <w:rPr>
          <w:rFonts w:ascii="Times New Roman" w:eastAsia="Times New Roman" w:hAnsi="Times New Roman" w:cs="Times New Roman"/>
          <w:b/>
          <w:bCs/>
          <w:sz w:val="24"/>
          <w:szCs w:val="24"/>
          <w:lang w:eastAsia="fr-FR"/>
        </w:rPr>
        <w:t>représentation de l’économie française</w:t>
      </w:r>
      <w:r w:rsidRPr="00D14013">
        <w:rPr>
          <w:rFonts w:ascii="Times New Roman" w:eastAsia="Times New Roman" w:hAnsi="Times New Roman" w:cs="Times New Roman"/>
          <w:sz w:val="24"/>
          <w:szCs w:val="24"/>
          <w:lang w:eastAsia="fr-FR"/>
        </w:rPr>
        <w:t xml:space="preserve"> dans laquelle sont modélisés les </w:t>
      </w:r>
      <w:r w:rsidRPr="00D14013">
        <w:rPr>
          <w:rFonts w:ascii="Times New Roman" w:eastAsia="Times New Roman" w:hAnsi="Times New Roman" w:cs="Times New Roman"/>
          <w:sz w:val="24"/>
          <w:szCs w:val="24"/>
          <w:lang w:eastAsia="fr-FR"/>
        </w:rPr>
        <w:lastRenderedPageBreak/>
        <w:t>comportements de consommation ou encore d’investissement des ménages, des entreprises et des administrations. L’économiste néerlandais Jan Tinbergen est le premier à avoir bâti dans les années 1930 des modèles économétriques, d’abord pour l’économie des Pays-Bas, puis pour celle des États-Unis.</w:t>
      </w:r>
    </w:p>
    <w:p w:rsidR="00D14013" w:rsidRPr="00D14013" w:rsidRDefault="00D14013" w:rsidP="00D14013">
      <w:pPr>
        <w:spacing w:after="0"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Le cas du projet de loi de finances</w:t>
      </w:r>
    </w:p>
    <w:p w:rsidR="00D14013" w:rsidRPr="00D14013" w:rsidRDefault="00D14013" w:rsidP="00D14013">
      <w:pPr>
        <w:spacing w:before="100" w:beforeAutospacing="1" w:after="100" w:afterAutospacing="1" w:line="240" w:lineRule="auto"/>
        <w:rPr>
          <w:rFonts w:ascii="Times New Roman" w:eastAsia="Times New Roman" w:hAnsi="Times New Roman" w:cs="Times New Roman"/>
          <w:sz w:val="24"/>
          <w:szCs w:val="24"/>
          <w:lang w:eastAsia="fr-FR"/>
        </w:rPr>
      </w:pPr>
      <w:r w:rsidRPr="00D14013">
        <w:rPr>
          <w:rFonts w:ascii="Times New Roman" w:eastAsia="Times New Roman" w:hAnsi="Times New Roman" w:cs="Times New Roman"/>
          <w:sz w:val="24"/>
          <w:szCs w:val="24"/>
          <w:lang w:eastAsia="fr-FR"/>
        </w:rPr>
        <w:t xml:space="preserve">En France, </w:t>
      </w:r>
      <w:r w:rsidRPr="00D14013">
        <w:rPr>
          <w:rFonts w:ascii="Times New Roman" w:eastAsia="Times New Roman" w:hAnsi="Times New Roman" w:cs="Times New Roman"/>
          <w:b/>
          <w:bCs/>
          <w:sz w:val="24"/>
          <w:szCs w:val="24"/>
          <w:lang w:eastAsia="fr-FR"/>
        </w:rPr>
        <w:t>le PLF dresse la liste de l’ensemble des recettes attendues et des dépenses prévues par l’État pour l’année suivante</w:t>
      </w:r>
      <w:r w:rsidRPr="00D14013">
        <w:rPr>
          <w:rFonts w:ascii="Times New Roman" w:eastAsia="Times New Roman" w:hAnsi="Times New Roman" w:cs="Times New Roman"/>
          <w:sz w:val="24"/>
          <w:szCs w:val="24"/>
          <w:lang w:eastAsia="fr-FR"/>
        </w:rPr>
        <w:t xml:space="preserve">. Les projections sur lesquelles il repose sont réalisées pendant l’été précédent par la direction générale du Trésor. Comme elle l’explique sur son site internet, elle commence par effectuer une </w:t>
      </w:r>
      <w:hyperlink r:id="rId8" w:tgtFrame="_blank" w:tooltip="Direction générale du Trésor | Document de Travail n° 2015/04 | La prévision de croissance de court terme à la DG Trésor" w:history="1">
        <w:r w:rsidRPr="00D14013">
          <w:rPr>
            <w:rFonts w:ascii="Times New Roman" w:eastAsia="Times New Roman" w:hAnsi="Times New Roman" w:cs="Times New Roman"/>
            <w:color w:val="0000FF"/>
            <w:sz w:val="24"/>
            <w:szCs w:val="24"/>
            <w:u w:val="single"/>
            <w:lang w:eastAsia="fr-FR"/>
          </w:rPr>
          <w:t>prévision détaillée des variables de l’année en cours</w:t>
        </w:r>
      </w:hyperlink>
      <w:r w:rsidRPr="00D14013">
        <w:rPr>
          <w:rFonts w:ascii="Times New Roman" w:eastAsia="Times New Roman" w:hAnsi="Times New Roman" w:cs="Times New Roman"/>
          <w:sz w:val="24"/>
          <w:szCs w:val="24"/>
          <w:lang w:eastAsia="fr-FR"/>
        </w:rPr>
        <w:t xml:space="preserve"> (PIB, consommation, investissement, etc.) en s’appuyant sur des statistiques telles que les indicateurs avancés, qu’elle actualise. La direction générale du Trésor se sert ensuite de cette prévision pour effectuer celle de l’année suivante </w:t>
      </w:r>
      <w:r w:rsidRPr="00D14013">
        <w:rPr>
          <w:rFonts w:ascii="Times New Roman" w:eastAsia="Times New Roman" w:hAnsi="Times New Roman" w:cs="Times New Roman"/>
          <w:b/>
          <w:bCs/>
          <w:sz w:val="24"/>
          <w:szCs w:val="24"/>
          <w:lang w:eastAsia="fr-FR"/>
        </w:rPr>
        <w:t>en ayant recours à la modélisation</w:t>
      </w:r>
      <w:r w:rsidRPr="00D14013">
        <w:rPr>
          <w:rFonts w:ascii="Times New Roman" w:eastAsia="Times New Roman" w:hAnsi="Times New Roman" w:cs="Times New Roman"/>
          <w:sz w:val="24"/>
          <w:szCs w:val="24"/>
          <w:lang w:eastAsia="fr-FR"/>
        </w:rPr>
        <w:t> : elle rentre les différentes données dans un modèle économétrique pour obtenir la valeur des variables futures, qu’elle va ajuster en fonction de ses analyses.</w:t>
      </w:r>
    </w:p>
    <w:p w:rsidR="00540C6B" w:rsidRDefault="00540C6B">
      <w:bookmarkStart w:id="0" w:name="_GoBack"/>
      <w:bookmarkEnd w:id="0"/>
    </w:p>
    <w:sectPr w:rsidR="00540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13"/>
    <w:rsid w:val="00540C6B"/>
    <w:rsid w:val="00D14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3AC93-0A9C-4E10-9FDB-31951FD5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40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14013"/>
    <w:rPr>
      <w:b/>
      <w:bCs/>
    </w:rPr>
  </w:style>
  <w:style w:type="character" w:styleId="Lienhypertexte">
    <w:name w:val="Hyperlink"/>
    <w:basedOn w:val="Policepardfaut"/>
    <w:uiPriority w:val="99"/>
    <w:semiHidden/>
    <w:unhideWhenUsed/>
    <w:rsid w:val="00D14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641467">
      <w:bodyDiv w:val="1"/>
      <w:marLeft w:val="0"/>
      <w:marRight w:val="0"/>
      <w:marTop w:val="0"/>
      <w:marBottom w:val="0"/>
      <w:divBdr>
        <w:top w:val="none" w:sz="0" w:space="0" w:color="auto"/>
        <w:left w:val="none" w:sz="0" w:space="0" w:color="auto"/>
        <w:bottom w:val="none" w:sz="0" w:space="0" w:color="auto"/>
        <w:right w:val="none" w:sz="0" w:space="0" w:color="auto"/>
      </w:divBdr>
      <w:divsChild>
        <w:div w:id="1839684856">
          <w:marLeft w:val="0"/>
          <w:marRight w:val="0"/>
          <w:marTop w:val="0"/>
          <w:marBottom w:val="0"/>
          <w:divBdr>
            <w:top w:val="none" w:sz="0" w:space="0" w:color="auto"/>
            <w:left w:val="none" w:sz="0" w:space="0" w:color="auto"/>
            <w:bottom w:val="none" w:sz="0" w:space="0" w:color="auto"/>
            <w:right w:val="none" w:sz="0" w:space="0" w:color="auto"/>
          </w:divBdr>
          <w:divsChild>
            <w:div w:id="1279290132">
              <w:marLeft w:val="0"/>
              <w:marRight w:val="0"/>
              <w:marTop w:val="0"/>
              <w:marBottom w:val="0"/>
              <w:divBdr>
                <w:top w:val="none" w:sz="0" w:space="0" w:color="auto"/>
                <w:left w:val="none" w:sz="0" w:space="0" w:color="auto"/>
                <w:bottom w:val="none" w:sz="0" w:space="0" w:color="auto"/>
                <w:right w:val="none" w:sz="0" w:space="0" w:color="auto"/>
              </w:divBdr>
              <w:divsChild>
                <w:div w:id="407314750">
                  <w:marLeft w:val="0"/>
                  <w:marRight w:val="0"/>
                  <w:marTop w:val="0"/>
                  <w:marBottom w:val="0"/>
                  <w:divBdr>
                    <w:top w:val="none" w:sz="0" w:space="0" w:color="auto"/>
                    <w:left w:val="none" w:sz="0" w:space="0" w:color="auto"/>
                    <w:bottom w:val="none" w:sz="0" w:space="0" w:color="auto"/>
                    <w:right w:val="none" w:sz="0" w:space="0" w:color="auto"/>
                  </w:divBdr>
                </w:div>
                <w:div w:id="1611625705">
                  <w:marLeft w:val="0"/>
                  <w:marRight w:val="0"/>
                  <w:marTop w:val="0"/>
                  <w:marBottom w:val="0"/>
                  <w:divBdr>
                    <w:top w:val="none" w:sz="0" w:space="0" w:color="auto"/>
                    <w:left w:val="none" w:sz="0" w:space="0" w:color="auto"/>
                    <w:bottom w:val="none" w:sz="0" w:space="0" w:color="auto"/>
                    <w:right w:val="none" w:sz="0" w:space="0" w:color="auto"/>
                  </w:divBdr>
                </w:div>
              </w:divsChild>
            </w:div>
            <w:div w:id="341587745">
              <w:marLeft w:val="0"/>
              <w:marRight w:val="0"/>
              <w:marTop w:val="0"/>
              <w:marBottom w:val="0"/>
              <w:divBdr>
                <w:top w:val="none" w:sz="0" w:space="0" w:color="auto"/>
                <w:left w:val="none" w:sz="0" w:space="0" w:color="auto"/>
                <w:bottom w:val="none" w:sz="0" w:space="0" w:color="auto"/>
                <w:right w:val="none" w:sz="0" w:space="0" w:color="auto"/>
              </w:divBdr>
              <w:divsChild>
                <w:div w:id="73940974">
                  <w:marLeft w:val="0"/>
                  <w:marRight w:val="0"/>
                  <w:marTop w:val="0"/>
                  <w:marBottom w:val="0"/>
                  <w:divBdr>
                    <w:top w:val="none" w:sz="0" w:space="0" w:color="auto"/>
                    <w:left w:val="none" w:sz="0" w:space="0" w:color="auto"/>
                    <w:bottom w:val="none" w:sz="0" w:space="0" w:color="auto"/>
                    <w:right w:val="none" w:sz="0" w:space="0" w:color="auto"/>
                  </w:divBdr>
                </w:div>
                <w:div w:id="627247435">
                  <w:marLeft w:val="0"/>
                  <w:marRight w:val="0"/>
                  <w:marTop w:val="0"/>
                  <w:marBottom w:val="0"/>
                  <w:divBdr>
                    <w:top w:val="none" w:sz="0" w:space="0" w:color="auto"/>
                    <w:left w:val="none" w:sz="0" w:space="0" w:color="auto"/>
                    <w:bottom w:val="none" w:sz="0" w:space="0" w:color="auto"/>
                    <w:right w:val="none" w:sz="0" w:space="0" w:color="auto"/>
                  </w:divBdr>
                </w:div>
              </w:divsChild>
            </w:div>
            <w:div w:id="598753906">
              <w:marLeft w:val="0"/>
              <w:marRight w:val="0"/>
              <w:marTop w:val="0"/>
              <w:marBottom w:val="0"/>
              <w:divBdr>
                <w:top w:val="none" w:sz="0" w:space="0" w:color="auto"/>
                <w:left w:val="none" w:sz="0" w:space="0" w:color="auto"/>
                <w:bottom w:val="none" w:sz="0" w:space="0" w:color="auto"/>
                <w:right w:val="none" w:sz="0" w:space="0" w:color="auto"/>
              </w:divBdr>
              <w:divsChild>
                <w:div w:id="74210957">
                  <w:marLeft w:val="0"/>
                  <w:marRight w:val="0"/>
                  <w:marTop w:val="0"/>
                  <w:marBottom w:val="0"/>
                  <w:divBdr>
                    <w:top w:val="none" w:sz="0" w:space="0" w:color="auto"/>
                    <w:left w:val="none" w:sz="0" w:space="0" w:color="auto"/>
                    <w:bottom w:val="none" w:sz="0" w:space="0" w:color="auto"/>
                    <w:right w:val="none" w:sz="0" w:space="0" w:color="auto"/>
                  </w:divBdr>
                </w:div>
                <w:div w:id="1685939610">
                  <w:marLeft w:val="0"/>
                  <w:marRight w:val="0"/>
                  <w:marTop w:val="0"/>
                  <w:marBottom w:val="0"/>
                  <w:divBdr>
                    <w:top w:val="none" w:sz="0" w:space="0" w:color="auto"/>
                    <w:left w:val="none" w:sz="0" w:space="0" w:color="auto"/>
                    <w:bottom w:val="none" w:sz="0" w:space="0" w:color="auto"/>
                    <w:right w:val="none" w:sz="0" w:space="0" w:color="auto"/>
                  </w:divBdr>
                </w:div>
                <w:div w:id="2053070238">
                  <w:marLeft w:val="0"/>
                  <w:marRight w:val="0"/>
                  <w:marTop w:val="0"/>
                  <w:marBottom w:val="0"/>
                  <w:divBdr>
                    <w:top w:val="none" w:sz="0" w:space="0" w:color="auto"/>
                    <w:left w:val="none" w:sz="0" w:space="0" w:color="auto"/>
                    <w:bottom w:val="none" w:sz="0" w:space="0" w:color="auto"/>
                    <w:right w:val="none" w:sz="0" w:space="0" w:color="auto"/>
                  </w:divBdr>
                </w:div>
              </w:divsChild>
            </w:div>
            <w:div w:id="242684921">
              <w:marLeft w:val="0"/>
              <w:marRight w:val="0"/>
              <w:marTop w:val="0"/>
              <w:marBottom w:val="0"/>
              <w:divBdr>
                <w:top w:val="none" w:sz="0" w:space="0" w:color="auto"/>
                <w:left w:val="none" w:sz="0" w:space="0" w:color="auto"/>
                <w:bottom w:val="none" w:sz="0" w:space="0" w:color="auto"/>
                <w:right w:val="none" w:sz="0" w:space="0" w:color="auto"/>
              </w:divBdr>
              <w:divsChild>
                <w:div w:id="680469112">
                  <w:marLeft w:val="0"/>
                  <w:marRight w:val="0"/>
                  <w:marTop w:val="0"/>
                  <w:marBottom w:val="0"/>
                  <w:divBdr>
                    <w:top w:val="none" w:sz="0" w:space="0" w:color="auto"/>
                    <w:left w:val="none" w:sz="0" w:space="0" w:color="auto"/>
                    <w:bottom w:val="none" w:sz="0" w:space="0" w:color="auto"/>
                    <w:right w:val="none" w:sz="0" w:space="0" w:color="auto"/>
                  </w:divBdr>
                </w:div>
                <w:div w:id="1640502284">
                  <w:marLeft w:val="0"/>
                  <w:marRight w:val="0"/>
                  <w:marTop w:val="0"/>
                  <w:marBottom w:val="0"/>
                  <w:divBdr>
                    <w:top w:val="none" w:sz="0" w:space="0" w:color="auto"/>
                    <w:left w:val="none" w:sz="0" w:space="0" w:color="auto"/>
                    <w:bottom w:val="none" w:sz="0" w:space="0" w:color="auto"/>
                    <w:right w:val="none" w:sz="0" w:space="0" w:color="auto"/>
                  </w:divBdr>
                </w:div>
              </w:divsChild>
            </w:div>
            <w:div w:id="486439814">
              <w:marLeft w:val="0"/>
              <w:marRight w:val="0"/>
              <w:marTop w:val="0"/>
              <w:marBottom w:val="0"/>
              <w:divBdr>
                <w:top w:val="none" w:sz="0" w:space="0" w:color="auto"/>
                <w:left w:val="none" w:sz="0" w:space="0" w:color="auto"/>
                <w:bottom w:val="none" w:sz="0" w:space="0" w:color="auto"/>
                <w:right w:val="none" w:sz="0" w:space="0" w:color="auto"/>
              </w:divBdr>
              <w:divsChild>
                <w:div w:id="1141076762">
                  <w:marLeft w:val="0"/>
                  <w:marRight w:val="0"/>
                  <w:marTop w:val="0"/>
                  <w:marBottom w:val="0"/>
                  <w:divBdr>
                    <w:top w:val="none" w:sz="0" w:space="0" w:color="auto"/>
                    <w:left w:val="none" w:sz="0" w:space="0" w:color="auto"/>
                    <w:bottom w:val="none" w:sz="0" w:space="0" w:color="auto"/>
                    <w:right w:val="none" w:sz="0" w:space="0" w:color="auto"/>
                  </w:divBdr>
                </w:div>
                <w:div w:id="14109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sor.economie.gouv.fr/Articles/2015/06/16/document-de-travail-n-2015-04-la-prevision-de-croissance-de-court-terme-a-la-dg-tresor" TargetMode="External"/><Relationship Id="rId3" Type="http://schemas.openxmlformats.org/officeDocument/2006/relationships/webSettings" Target="webSettings.xml"/><Relationship Id="rId7" Type="http://schemas.openxmlformats.org/officeDocument/2006/relationships/hyperlink" Target="https://www.insee.fr/fr/information/36057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omptes.fr/sites/default/files/EzPublish/20140617_rapport_situation_perspectives_des_finances_publiques_v2.pdf" TargetMode="External"/><Relationship Id="rId5" Type="http://schemas.openxmlformats.org/officeDocument/2006/relationships/hyperlink" Target="https://www.brief.eco/a/2019/07/10/on-fait-le-point/les-cycles-economiques/" TargetMode="External"/><Relationship Id="rId10" Type="http://schemas.openxmlformats.org/officeDocument/2006/relationships/theme" Target="theme/theme1.xml"/><Relationship Id="rId4" Type="http://schemas.openxmlformats.org/officeDocument/2006/relationships/hyperlink" Target="http://sabbar.fr/economie-2/lappreciation-de-la-situation-economique/"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2020-10-18T11:41:00Z</dcterms:created>
  <dcterms:modified xsi:type="dcterms:W3CDTF">2020-10-18T11:41:00Z</dcterms:modified>
</cp:coreProperties>
</file>